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640"/>
        <w:gridCol w:w="2805"/>
        <w:gridCol w:w="2040"/>
        <w:tblGridChange w:id="0">
          <w:tblGrid>
            <w:gridCol w:w="2685"/>
            <w:gridCol w:w="2640"/>
            <w:gridCol w:w="2805"/>
            <w:gridCol w:w="204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002">
            <w:pPr>
              <w:spacing w:after="160" w:line="259" w:lineRule="auto"/>
              <w:jc w:val="center"/>
              <w:rPr>
                <w:rFonts w:ascii="StobiSerif Regular" w:cs="StobiSerif Regular" w:eastAsia="StobiSerif Regular" w:hAnsi="StobiSerif Regular"/>
              </w:rPr>
            </w:pPr>
            <w:bookmarkStart w:colFirst="0" w:colLast="0" w:name="_az1ffk3hd3b4" w:id="0"/>
            <w:bookmarkEnd w:id="0"/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5. УНАПРЕДУВАЊЕ НА АКТИВНОСТИТЕ ЗА КЛИМАТСКИ ПРОМЕНИ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after="160" w:line="259" w:lineRule="auto"/>
              <w:ind w:left="720" w:firstLine="0"/>
              <w:jc w:val="center"/>
              <w:rPr>
                <w:rFonts w:ascii="StobiSerif Regular" w:cs="StobiSerif Regular" w:eastAsia="StobiSerif Regular" w:hAnsi="StobiSerif Regular"/>
                <w:b w:val="1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b w:val="1"/>
                <w:rtl w:val="0"/>
              </w:rPr>
              <w:t xml:space="preserve">ЗАЛОЖБА 5.1   Ефикасно учество на јавноста во донесување одлуки во областа на водно право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Назив на одговорна институција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Министерство за животна средина и просторно планирање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Ниво на имплементација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целост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ог</w:t>
            </w:r>
            <w:r w:rsidDel="00000000" w:rsidR="00000000" w:rsidRPr="00000000">
              <w:rPr>
                <w:rFonts w:ascii="StobiSerif Regular" w:cs="StobiSerif Regular" w:eastAsia="StobiSerif Regular" w:hAnsi="StobiSerif Regular"/>
                <w:shd w:fill="ed7d31" w:val="clear"/>
                <w:rtl w:val="0"/>
              </w:rPr>
              <w:t xml:space="preserve">раничено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Не е започната/значително доцнење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Доказ за проценетиот напредок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Опис на резултатите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spacing w:after="160" w:line="259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Нацрт Законот за изменување и дополнување на Законот за водите е во подготовка. Во тек е изработка на фискалните импликации. </w:t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Предлог Правилникот за водна книга е подготвен и е во процес на усогласување со Секретаријат за законодавство, 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Следни чекори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По завршување на проценката на фискалните импликации и комплетирање на процесот на подготовка на закон, Законот за изменување и дополнување на Законот за водите ќе се пусти во владина процедура.</w:t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По усогласување со Секретаријатот за законодавство, министерот за животна средина и просторно планирање ќе го донесе  Правилникот за водна книга (по што истиот ќе биде донесен и објавен и сите податоци ќе се водат електронски).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Активностите по однос на заложбата се во тек а јавноста во однос на барањата за издавање на водно право редовно се  информира на </w:t>
            </w:r>
            <w:hyperlink r:id="rId6">
              <w:r w:rsidDel="00000000" w:rsidR="00000000" w:rsidRPr="00000000">
                <w:rPr>
                  <w:rFonts w:ascii="StobiSerif Regular" w:cs="StobiSerif Regular" w:eastAsia="StobiSerif Regular" w:hAnsi="StobiSerif Regular"/>
                  <w:color w:val="0000ff"/>
                  <w:u w:val="single"/>
                  <w:rtl w:val="0"/>
                </w:rPr>
                <w:t xml:space="preserve">веб страницата</w:t>
              </w:r>
            </w:hyperlink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 на министерството и во дневно весници. </w:t>
            </w:r>
          </w:p>
        </w:tc>
      </w:tr>
    </w:tbl>
    <w:p w:rsidR="00000000" w:rsidDel="00000000" w:rsidP="00000000" w:rsidRDefault="00000000" w:rsidRPr="00000000" w14:paraId="00000021">
      <w:pPr>
        <w:spacing w:after="160" w:line="259" w:lineRule="auto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StobiSerif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Aptos" w:cs="Aptos" w:eastAsia="Aptos" w:hAnsi="Aptos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oepp.gov.mk/uslugi/v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