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660"/>
        </w:tabs>
        <w:spacing w:line="240" w:lineRule="auto"/>
        <w:jc w:val="both"/>
        <w:rPr>
          <w:rFonts w:ascii="StobiSerif Regular" w:cs="StobiSerif Regular" w:eastAsia="StobiSerif Regular" w:hAnsi="StobiSerif Regul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5"/>
        <w:gridCol w:w="2655"/>
        <w:gridCol w:w="2700"/>
        <w:gridCol w:w="1680"/>
        <w:tblGridChange w:id="0">
          <w:tblGrid>
            <w:gridCol w:w="2685"/>
            <w:gridCol w:w="2655"/>
            <w:gridCol w:w="2700"/>
            <w:gridCol w:w="1680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spacing w:line="240" w:lineRule="auto"/>
              <w:ind w:left="720" w:firstLine="0"/>
              <w:jc w:val="center"/>
              <w:rPr>
                <w:rFonts w:ascii="StobiSerif Regular" w:cs="StobiSerif Regular" w:eastAsia="StobiSerif Regular" w:hAnsi="StobiSerif Regular"/>
                <w:b w:val="1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b w:val="1"/>
                <w:rtl w:val="0"/>
              </w:rPr>
              <w:t xml:space="preserve">ЗАЛОЖБА 4.2.1 Дигитализација на податоци за унапредување на локалните економски политики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Назив на одговорна институција</w:t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Управа за јавни приходи на  Република Северна Македонија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Ниво на имплементација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Во целост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ограничено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Не е започната/значително доцнење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Доказ за проценетиот напредок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Активности за заложбата не се отпочнати.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Опис на резултатите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Следни чекори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Отпочнување на активности</w:t>
            </w:r>
          </w:p>
        </w:tc>
      </w:tr>
    </w:tbl>
    <w:p w:rsidR="00000000" w:rsidDel="00000000" w:rsidP="00000000" w:rsidRDefault="00000000" w:rsidRPr="00000000" w14:paraId="0000001B">
      <w:pPr>
        <w:tabs>
          <w:tab w:val="left" w:leader="none" w:pos="3660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StobiSerif Regula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rFonts w:ascii="Aptos" w:cs="Aptos" w:eastAsia="Aptos" w:hAnsi="Aptos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