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StobiSerif Regular" w:cs="StobiSerif Regular" w:eastAsia="StobiSerif Regular" w:hAnsi="StobiSerif Regular"/>
        </w:rPr>
      </w:pPr>
      <w:r w:rsidDel="00000000" w:rsidR="00000000" w:rsidRPr="00000000">
        <w:rPr>
          <w:rtl w:val="0"/>
        </w:rPr>
      </w:r>
    </w:p>
    <w:tbl>
      <w:tblPr>
        <w:tblStyle w:val="Table1"/>
        <w:tblpPr w:leftFromText="180" w:rightFromText="180" w:topFromText="0" w:bottomFromText="0" w:vertAnchor="text" w:horzAnchor="text" w:tblpX="0" w:tblpY="0"/>
        <w:tblW w:w="10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255"/>
        <w:gridCol w:w="2835"/>
        <w:gridCol w:w="960"/>
        <w:tblGridChange w:id="0">
          <w:tblGrid>
            <w:gridCol w:w="3120"/>
            <w:gridCol w:w="3255"/>
            <w:gridCol w:w="2835"/>
            <w:gridCol w:w="960"/>
          </w:tblGrid>
        </w:tblGridChange>
      </w:tblGrid>
      <w:tr>
        <w:trPr>
          <w:cantSplit w:val="0"/>
          <w:trHeight w:val="418.0059814453125" w:hRule="atLeast"/>
          <w:tblHeader w:val="0"/>
        </w:trPr>
        <w:tc>
          <w:tcPr>
            <w:gridSpan w:val="4"/>
            <w:shd w:fill="ffe599" w:val="clear"/>
          </w:tcPr>
          <w:p w:rsidR="00000000" w:rsidDel="00000000" w:rsidP="00000000" w:rsidRDefault="00000000" w:rsidRPr="00000000" w14:paraId="00000002">
            <w:pPr>
              <w:spacing w:after="160" w:line="259" w:lineRule="auto"/>
              <w:jc w:val="center"/>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4. РАЗВОЈ И КОРИСТЕЊЕ НА ДИГИТАЛНИ ТЕХНОЛОГИИ</w:t>
            </w:r>
          </w:p>
        </w:tc>
      </w:tr>
      <w:tr>
        <w:trPr>
          <w:cantSplit w:val="0"/>
          <w:trHeight w:val="365" w:hRule="atLeast"/>
          <w:tblHeader w:val="0"/>
        </w:trPr>
        <w:tc>
          <w:tcPr>
            <w:gridSpan w:val="4"/>
          </w:tcPr>
          <w:p w:rsidR="00000000" w:rsidDel="00000000" w:rsidP="00000000" w:rsidRDefault="00000000" w:rsidRPr="00000000" w14:paraId="00000006">
            <w:pPr>
              <w:spacing w:after="160" w:line="259" w:lineRule="auto"/>
              <w:ind w:left="720" w:firstLine="0"/>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ЗАЛОЖБА 4.1  Дигитализација на процеси за финансиско известување на политичките партии</w:t>
            </w:r>
          </w:p>
        </w:tc>
      </w:tr>
      <w:tr>
        <w:trPr>
          <w:cantSplit w:val="0"/>
          <w:tblHeader w:val="0"/>
        </w:trPr>
        <w:tc>
          <w:tcPr>
            <w:shd w:fill="ffe599" w:val="clear"/>
          </w:tcPr>
          <w:p w:rsidR="00000000" w:rsidDel="00000000" w:rsidP="00000000" w:rsidRDefault="00000000" w:rsidRPr="00000000" w14:paraId="0000000A">
            <w:pPr>
              <w:spacing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Назив на одговорна институција</w:t>
            </w:r>
          </w:p>
        </w:tc>
        <w:tc>
          <w:tcPr>
            <w:gridSpan w:val="3"/>
            <w:shd w:fill="ffe599" w:val="clear"/>
          </w:tcPr>
          <w:p w:rsidR="00000000" w:rsidDel="00000000" w:rsidP="00000000" w:rsidRDefault="00000000" w:rsidRPr="00000000" w14:paraId="0000000B">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Министерство за финансии</w:t>
            </w:r>
          </w:p>
        </w:tc>
      </w:tr>
      <w:tr>
        <w:trPr>
          <w:cantSplit w:val="0"/>
          <w:trHeight w:val="734" w:hRule="atLeast"/>
          <w:tblHeader w:val="0"/>
        </w:trPr>
        <w:tc>
          <w:tcPr>
            <w:shd w:fill="ffe599" w:val="clear"/>
          </w:tcPr>
          <w:p w:rsidR="00000000" w:rsidDel="00000000" w:rsidP="00000000" w:rsidRDefault="00000000" w:rsidRPr="00000000" w14:paraId="0000000E">
            <w:pPr>
              <w:spacing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Ниво на имплементација</w:t>
            </w:r>
          </w:p>
        </w:tc>
        <w:tc>
          <w:tcPr>
            <w:shd w:fill="auto" w:val="clear"/>
          </w:tcPr>
          <w:p w:rsidR="00000000" w:rsidDel="00000000" w:rsidP="00000000" w:rsidRDefault="00000000" w:rsidRPr="00000000" w14:paraId="0000000F">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целост</w:t>
            </w:r>
          </w:p>
        </w:tc>
        <w:tc>
          <w:tcPr>
            <w:shd w:fill="ed7d31" w:val="clear"/>
          </w:tcPr>
          <w:p w:rsidR="00000000" w:rsidDel="00000000" w:rsidP="00000000" w:rsidRDefault="00000000" w:rsidRPr="00000000" w14:paraId="00000010">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ог</w:t>
            </w:r>
            <w:r w:rsidDel="00000000" w:rsidR="00000000" w:rsidRPr="00000000">
              <w:rPr>
                <w:rFonts w:ascii="StobiSerif Regular" w:cs="StobiSerif Regular" w:eastAsia="StobiSerif Regular" w:hAnsi="StobiSerif Regular"/>
                <w:shd w:fill="ed7d31" w:val="clear"/>
                <w:rtl w:val="0"/>
              </w:rPr>
              <w:t xml:space="preserve">раничено</w:t>
            </w:r>
            <w:r w:rsidDel="00000000" w:rsidR="00000000" w:rsidRPr="00000000">
              <w:rPr>
                <w:rtl w:val="0"/>
              </w:rPr>
            </w:r>
          </w:p>
        </w:tc>
        <w:tc>
          <w:tcPr>
            <w:shd w:fill="auto" w:val="clear"/>
          </w:tcPr>
          <w:p w:rsidR="00000000" w:rsidDel="00000000" w:rsidP="00000000" w:rsidRDefault="00000000" w:rsidRPr="00000000" w14:paraId="00000011">
            <w:pPr>
              <w:spacing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Не е започната/значително доцнење</w:t>
            </w:r>
          </w:p>
        </w:tc>
      </w:tr>
      <w:tr>
        <w:trPr>
          <w:cantSplit w:val="0"/>
          <w:tblHeader w:val="0"/>
        </w:trPr>
        <w:tc>
          <w:tcPr>
            <w:shd w:fill="ffe599" w:val="clear"/>
          </w:tcPr>
          <w:p w:rsidR="00000000" w:rsidDel="00000000" w:rsidP="00000000" w:rsidRDefault="00000000" w:rsidRPr="00000000" w14:paraId="00000012">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Доказ за проценетиот напредок</w:t>
            </w:r>
          </w:p>
        </w:tc>
        <w:tc>
          <w:tcPr>
            <w:gridSpan w:val="3"/>
          </w:tcPr>
          <w:p w:rsidR="00000000" w:rsidDel="00000000" w:rsidP="00000000" w:rsidRDefault="00000000" w:rsidRPr="00000000" w14:paraId="00000013">
            <w:pPr>
              <w:spacing w:after="160" w:line="259"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периодот мај-декември 2024 година, </w:t>
            </w:r>
            <w:hyperlink r:id="rId6">
              <w:r w:rsidDel="00000000" w:rsidR="00000000" w:rsidRPr="00000000">
                <w:rPr>
                  <w:rFonts w:ascii="StobiSerif Regular" w:cs="StobiSerif Regular" w:eastAsia="StobiSerif Regular" w:hAnsi="StobiSerif Regular"/>
                  <w:rtl w:val="0"/>
                </w:rPr>
                <w:t xml:space="preserve">РГ одржа четири состаноци</w:t>
              </w:r>
            </w:hyperlink>
            <w:r w:rsidDel="00000000" w:rsidR="00000000" w:rsidRPr="00000000">
              <w:rPr>
                <w:rFonts w:ascii="StobiSerif Regular" w:cs="StobiSerif Regular" w:eastAsia="StobiSerif Regular" w:hAnsi="StobiSerif Regular"/>
                <w:rtl w:val="0"/>
              </w:rPr>
              <w:t xml:space="preserve"> на кои меѓу другото се утврди: </w:t>
            </w:r>
            <w:hyperlink r:id="rId7">
              <w:r w:rsidDel="00000000" w:rsidR="00000000" w:rsidRPr="00000000">
                <w:rPr>
                  <w:rFonts w:ascii="StobiSerif Regular" w:cs="StobiSerif Regular" w:eastAsia="StobiSerif Regular" w:hAnsi="StobiSerif Regular"/>
                  <w:rtl w:val="0"/>
                </w:rPr>
                <w:t xml:space="preserve">Оперативен план</w:t>
              </w:r>
            </w:hyperlink>
            <w:r w:rsidDel="00000000" w:rsidR="00000000" w:rsidRPr="00000000">
              <w:rPr>
                <w:rFonts w:ascii="StobiSerif Regular" w:cs="StobiSerif Regular" w:eastAsia="StobiSerif Regular" w:hAnsi="StobiSerif Regular"/>
                <w:rtl w:val="0"/>
              </w:rPr>
              <w:t xml:space="preserve"> со активност и рокови за реализација на истите, се утврди листата на подзаконските акти кои ќе бидат изменети/дополнети во насока на реализација на заложбата. </w:t>
            </w:r>
          </w:p>
        </w:tc>
      </w:tr>
      <w:tr>
        <w:trPr>
          <w:cantSplit w:val="0"/>
          <w:tblHeader w:val="0"/>
        </w:trPr>
        <w:tc>
          <w:tcPr>
            <w:shd w:fill="ffe599" w:val="clear"/>
          </w:tcPr>
          <w:p w:rsidR="00000000" w:rsidDel="00000000" w:rsidP="00000000" w:rsidRDefault="00000000" w:rsidRPr="00000000" w14:paraId="00000016">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Опис на резултатите </w:t>
            </w:r>
          </w:p>
        </w:tc>
        <w:tc>
          <w:tcPr>
            <w:gridSpan w:val="3"/>
          </w:tcPr>
          <w:p w:rsidR="00000000" w:rsidDel="00000000" w:rsidP="00000000" w:rsidRDefault="00000000" w:rsidRPr="00000000" w14:paraId="00000017">
            <w:pPr>
              <w:spacing w:after="160" w:line="259" w:lineRule="auto"/>
              <w:jc w:val="both"/>
              <w:rPr>
                <w:rFonts w:ascii="StobiSerif Regular" w:cs="StobiSerif Regular" w:eastAsia="StobiSerif Regular" w:hAnsi="StobiSerif Regular"/>
                <w:highlight w:val="yellow"/>
              </w:rPr>
            </w:pPr>
            <w:r w:rsidDel="00000000" w:rsidR="00000000" w:rsidRPr="00000000">
              <w:rPr>
                <w:rFonts w:ascii="StobiSerif Regular" w:cs="StobiSerif Regular" w:eastAsia="StobiSerif Regular" w:hAnsi="StobiSerif Regular"/>
                <w:rtl w:val="0"/>
              </w:rPr>
              <w:t xml:space="preserve">Донесена одлука на Комисијата на ДКСК за прифаќање на активноста за воведување на интегрирано софтверско решение како дел на информацискиот систем на ДКСК. При што ДКСК ќе ги реализира сите активностите предвидени во Националниот акциски план за партнерство за отворена власт (2024-2026), по донесување на финансиски план, со кој ќе се утврдат изворите на финансирање на софтверското и хардверското решение, неопходни за реализација на заложбата.</w:t>
            </w:r>
            <w:r w:rsidDel="00000000" w:rsidR="00000000" w:rsidRPr="00000000">
              <w:rPr>
                <w:rtl w:val="0"/>
              </w:rPr>
            </w:r>
          </w:p>
        </w:tc>
      </w:tr>
      <w:tr>
        <w:trPr>
          <w:cantSplit w:val="0"/>
          <w:trHeight w:val="662" w:hRule="atLeast"/>
          <w:tblHeader w:val="0"/>
        </w:trPr>
        <w:tc>
          <w:tcPr>
            <w:shd w:fill="ffe599" w:val="clear"/>
          </w:tcPr>
          <w:p w:rsidR="00000000" w:rsidDel="00000000" w:rsidP="00000000" w:rsidRDefault="00000000" w:rsidRPr="00000000" w14:paraId="0000001A">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 чекори</w:t>
            </w:r>
          </w:p>
        </w:tc>
        <w:tc>
          <w:tcPr>
            <w:gridSpan w:val="3"/>
          </w:tcPr>
          <w:p w:rsidR="00000000" w:rsidDel="00000000" w:rsidP="00000000" w:rsidRDefault="00000000" w:rsidRPr="00000000" w14:paraId="0000001B">
            <w:pPr>
              <w:spacing w:after="160" w:line="259"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Одржување на состаноци на ниво на РГ во насока на реализација на активностите предвидени со оперативниот план</w:t>
            </w:r>
          </w:p>
        </w:tc>
      </w:tr>
    </w:tbl>
    <w:p w:rsidR="00000000" w:rsidDel="00000000" w:rsidP="00000000" w:rsidRDefault="00000000" w:rsidRPr="00000000" w14:paraId="0000001E">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StobiSerif Regul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vp.gov.mk/twg_group/%d1%80%d0%b0%d0%b7%d0%b2%d0%be%d1%98-%d0%b8-%d0%ba%d0%be%d1%80%d0%b8%d1%81%d1%82%d0%b5%d1%9a%d0%b5-%d0%bd%d0%b0-%d0%b4%d0%b8%d0%b3%d0%b8%d1%82%d0%b0%d0%bb%d0%bd%d0%b8-%d1%82%d0%b5%d1%85%d0%bd%d0%be/" TargetMode="External"/><Relationship Id="rId7" Type="http://schemas.openxmlformats.org/officeDocument/2006/relationships/hyperlink" Target="https://ovp.gov.mk/twg_group/%d1%80%d0%b0%d0%b7%d0%b2%d0%be%d1%98-%d0%b8-%d0%ba%d0%be%d1%80%d0%b8%d1%81%d1%82%d0%b5%d1%9a%d0%b5-%d0%bd%d0%b0-%d0%b4%d0%b8%d0%b3%d0%b8%d1%82%d0%b0%d0%bb%d0%bd%d0%b8-%d1%82%d0%b5%d1%85%d0%bd%d0%b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