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StobiSerif Regular" w:cs="StobiSerif Regular" w:eastAsia="StobiSerif Regular" w:hAnsi="StobiSerif Regul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0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5"/>
        <w:gridCol w:w="2640"/>
        <w:gridCol w:w="2700"/>
        <w:gridCol w:w="2205"/>
        <w:tblGridChange w:id="0">
          <w:tblGrid>
            <w:gridCol w:w="2685"/>
            <w:gridCol w:w="2640"/>
            <w:gridCol w:w="2700"/>
            <w:gridCol w:w="2205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spacing w:line="240" w:lineRule="auto"/>
              <w:ind w:left="720" w:firstLine="0"/>
              <w:jc w:val="center"/>
              <w:rPr>
                <w:rFonts w:ascii="StobiSerif Regular" w:cs="StobiSerif Regular" w:eastAsia="StobiSerif Regular" w:hAnsi="StobiSerif Regular"/>
                <w:b w:val="1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b w:val="1"/>
                <w:rtl w:val="0"/>
              </w:rPr>
              <w:t xml:space="preserve">ЗАЛОЖБА 3. Надзорна расправа во Собранието за спроведувањето на Националниот ПОВ план 2024-2026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Назив на одговорна институција</w:t>
            </w:r>
          </w:p>
        </w:tc>
        <w:tc>
          <w:tcPr>
            <w:gridSpan w:val="3"/>
            <w:shd w:fill="ffe599" w:val="clea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Собрание на РСМ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Ниво на имплементација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Во целост</w:t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ог</w:t>
            </w:r>
            <w:r w:rsidDel="00000000" w:rsidR="00000000" w:rsidRPr="00000000">
              <w:rPr>
                <w:rFonts w:ascii="StobiSerif Regular" w:cs="StobiSerif Regular" w:eastAsia="StobiSerif Regular" w:hAnsi="StobiSerif Regular"/>
                <w:shd w:fill="ed7d31" w:val="clear"/>
                <w:rtl w:val="0"/>
              </w:rPr>
              <w:t xml:space="preserve">раничено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Не е започната/значително доцнење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Доказ за проценетиот напредок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Во врска со конкретната заложба во 2024 година не се одржа надзорна расправа за спроведувањето на националниот ПОВ. 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Опис на резултатите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Следни чекори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Собранието ќе донесе одлука за одржување на истата во 2025 година.</w:t>
            </w:r>
          </w:p>
        </w:tc>
      </w:tr>
    </w:tbl>
    <w:p w:rsidR="00000000" w:rsidDel="00000000" w:rsidP="00000000" w:rsidRDefault="00000000" w:rsidRPr="00000000" w14:paraId="0000001A">
      <w:pPr>
        <w:spacing w:after="160" w:line="259" w:lineRule="auto"/>
        <w:rPr>
          <w:rFonts w:ascii="StobiSerif Regular" w:cs="StobiSerif Regular" w:eastAsia="StobiSerif Regular" w:hAnsi="StobiSerif Regular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StobiSerif Regula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rFonts w:ascii="Aptos" w:cs="Aptos" w:eastAsia="Aptos" w:hAnsi="Aptos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