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StobiSerif Regular" w:cs="StobiSerif Regular" w:eastAsia="StobiSerif Regular" w:hAnsi="StobiSerif Regular"/>
        </w:rPr>
      </w:pPr>
      <w:r w:rsidDel="00000000" w:rsidR="00000000" w:rsidRPr="00000000">
        <w:rPr>
          <w:rtl w:val="0"/>
        </w:rPr>
      </w:r>
    </w:p>
    <w:tbl>
      <w:tblPr>
        <w:tblStyle w:val="Table1"/>
        <w:tblW w:w="1041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2640"/>
        <w:gridCol w:w="2700"/>
        <w:gridCol w:w="2385"/>
        <w:tblGridChange w:id="0">
          <w:tblGrid>
            <w:gridCol w:w="2685"/>
            <w:gridCol w:w="2640"/>
            <w:gridCol w:w="2700"/>
            <w:gridCol w:w="2385"/>
          </w:tblGrid>
        </w:tblGridChange>
      </w:tblGrid>
      <w:tr>
        <w:trPr>
          <w:cantSplit w:val="0"/>
          <w:tblHeader w:val="0"/>
        </w:trPr>
        <w:tc>
          <w:tcPr>
            <w:gridSpan w:val="4"/>
          </w:tcPr>
          <w:p w:rsidR="00000000" w:rsidDel="00000000" w:rsidP="00000000" w:rsidRDefault="00000000" w:rsidRPr="00000000" w14:paraId="00000002">
            <w:pPr>
              <w:spacing w:line="240" w:lineRule="auto"/>
              <w:ind w:left="720" w:firstLine="0"/>
              <w:jc w:val="center"/>
              <w:rPr>
                <w:rFonts w:ascii="StobiSerif Regular" w:cs="StobiSerif Regular" w:eastAsia="StobiSerif Regular" w:hAnsi="StobiSerif Regular"/>
                <w:b w:val="1"/>
              </w:rPr>
            </w:pPr>
            <w:bookmarkStart w:colFirst="0" w:colLast="0" w:name="_1ncppi3q8606" w:id="0"/>
            <w:bookmarkEnd w:id="0"/>
            <w:r w:rsidDel="00000000" w:rsidR="00000000" w:rsidRPr="00000000">
              <w:rPr>
                <w:rFonts w:ascii="StobiSerif Regular" w:cs="StobiSerif Regular" w:eastAsia="StobiSerif Regular" w:hAnsi="StobiSerif Regular"/>
                <w:b w:val="1"/>
                <w:rtl w:val="0"/>
              </w:rPr>
              <w:t xml:space="preserve">ЗАЛОЖБА 2. Информирање на јавноста преку собранискиот ТВ канал</w:t>
            </w:r>
          </w:p>
        </w:tc>
      </w:tr>
      <w:tr>
        <w:trPr>
          <w:cantSplit w:val="0"/>
          <w:tblHeader w:val="0"/>
        </w:trPr>
        <w:tc>
          <w:tcPr>
            <w:shd w:fill="ffe599" w:val="clear"/>
          </w:tcPr>
          <w:p w:rsidR="00000000" w:rsidDel="00000000" w:rsidP="00000000" w:rsidRDefault="00000000" w:rsidRPr="00000000" w14:paraId="00000006">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7">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Собрание на РСМ</w:t>
            </w:r>
          </w:p>
        </w:tc>
      </w:tr>
      <w:tr>
        <w:trPr>
          <w:cantSplit w:val="0"/>
          <w:tblHeader w:val="0"/>
        </w:trPr>
        <w:tc>
          <w:tcPr>
            <w:shd w:fill="ffe599" w:val="clear"/>
          </w:tcPr>
          <w:p w:rsidR="00000000" w:rsidDel="00000000" w:rsidP="00000000" w:rsidRDefault="00000000" w:rsidRPr="00000000" w14:paraId="0000000A">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70ad47" w:val="clear"/>
          </w:tcPr>
          <w:p w:rsidR="00000000" w:rsidDel="00000000" w:rsidP="00000000" w:rsidRDefault="00000000" w:rsidRPr="00000000" w14:paraId="0000000B">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auto" w:val="clear"/>
          </w:tcPr>
          <w:p w:rsidR="00000000" w:rsidDel="00000000" w:rsidP="00000000" w:rsidRDefault="00000000" w:rsidRPr="00000000" w14:paraId="0000000C">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ограничено</w:t>
            </w:r>
          </w:p>
        </w:tc>
        <w:tc>
          <w:tcPr>
            <w:shd w:fill="auto" w:val="clear"/>
          </w:tcPr>
          <w:p w:rsidR="00000000" w:rsidDel="00000000" w:rsidP="00000000" w:rsidRDefault="00000000" w:rsidRPr="00000000" w14:paraId="0000000D">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0E">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Pr>
          <w:p w:rsidR="00000000" w:rsidDel="00000000" w:rsidP="00000000" w:rsidRDefault="00000000" w:rsidRPr="00000000" w14:paraId="0000000F">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Советот на Собранискиот ТВ-канал беше формиран </w:t>
            </w:r>
            <w:hyperlink r:id="rId6">
              <w:r w:rsidDel="00000000" w:rsidR="00000000" w:rsidRPr="00000000">
                <w:rPr>
                  <w:rFonts w:ascii="StobiSerif Regular" w:cs="StobiSerif Regular" w:eastAsia="StobiSerif Regular" w:hAnsi="StobiSerif Regular"/>
                  <w:color w:val="0563c1"/>
                  <w:u w:val="single"/>
                  <w:rtl w:val="0"/>
                </w:rPr>
                <w:t xml:space="preserve">https://www.sobranie.mk/detali-na-sovet.nspx?param=046dec8f-7875-49bc-97a7-ec4b618e7c21</w:t>
              </w:r>
            </w:hyperlink>
            <w:r w:rsidDel="00000000" w:rsidR="00000000" w:rsidRPr="00000000">
              <w:rPr>
                <w:rFonts w:ascii="StobiSerif Regular" w:cs="StobiSerif Regular" w:eastAsia="StobiSerif Regular" w:hAnsi="StobiSerif Regular"/>
                <w:rtl w:val="0"/>
              </w:rPr>
              <w:t xml:space="preserve">, со одлука за составот на Советот </w:t>
            </w:r>
            <w:hyperlink r:id="rId7">
              <w:r w:rsidDel="00000000" w:rsidR="00000000" w:rsidRPr="00000000">
                <w:rPr>
                  <w:rFonts w:ascii="StobiSerif Regular" w:cs="StobiSerif Regular" w:eastAsia="StobiSerif Regular" w:hAnsi="StobiSerif Regular"/>
                  <w:color w:val="0563c1"/>
                  <w:u w:val="single"/>
                  <w:rtl w:val="0"/>
                </w:rPr>
                <w:t xml:space="preserve">https://www.sobranie.mk/detali-na-materijal.nspx?param=97efc251-5750-486d-9d01-2fc12760b5e2</w:t>
              </w:r>
            </w:hyperlink>
            <w:r w:rsidDel="00000000" w:rsidR="00000000" w:rsidRPr="00000000">
              <w:rPr>
                <w:rFonts w:ascii="StobiSerif Regular" w:cs="StobiSerif Regular" w:eastAsia="StobiSerif Regular" w:hAnsi="StobiSerif Regular"/>
                <w:rtl w:val="0"/>
              </w:rPr>
              <w:t xml:space="preserve"> . </w:t>
            </w:r>
          </w:p>
        </w:tc>
      </w:tr>
      <w:tr>
        <w:trPr>
          <w:cantSplit w:val="0"/>
          <w:tblHeader w:val="0"/>
        </w:trPr>
        <w:tc>
          <w:tcPr>
            <w:shd w:fill="ffe599" w:val="clear"/>
          </w:tcPr>
          <w:p w:rsidR="00000000" w:rsidDel="00000000" w:rsidP="00000000" w:rsidRDefault="00000000" w:rsidRPr="00000000" w14:paraId="00000012">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Pr>
          <w:p w:rsidR="00000000" w:rsidDel="00000000" w:rsidP="00000000" w:rsidRDefault="00000000" w:rsidRPr="00000000" w14:paraId="00000013">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Првата седница на Советот на Собранискиот канал во новиот паралментарен состав беше одржана на 29 август 2024 година. На дневниот ред на Седницата беа разгледани следните точки: Предлог Деловник за работа на Советот на Собраниски канал, Предлог Финансиски и инвестиционен план на Собранискиот канал за 2025 година и точката Разно.</w:t>
            </w:r>
          </w:p>
          <w:p w:rsidR="00000000" w:rsidDel="00000000" w:rsidP="00000000" w:rsidRDefault="00000000" w:rsidRPr="00000000" w14:paraId="00000014">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5">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Согласно донесената Годишна програма и план за видот и содржината на програмата, по завршувањето на парламентарните избори, во периодот од 25 август до 31 март 2025 година, во Собраниското студио се реализирани седум интервјуа. Интервјуирани беа членови од првиот пратенички состав, пет координатори на пратеничките групи, како и пратенички од актуелниот пратенички состав. </w:t>
            </w:r>
          </w:p>
          <w:p w:rsidR="00000000" w:rsidDel="00000000" w:rsidP="00000000" w:rsidRDefault="00000000" w:rsidRPr="00000000" w14:paraId="00000016">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7">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периодот од 25 август до 31 март 2024 година на месечно ниво времетраењето на изработена програма во Собраниското ТВ студио изнесува: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3"/>
                <w:szCs w:val="23"/>
              </w:rPr>
            </w:pPr>
            <w:r w:rsidDel="00000000" w:rsidR="00000000" w:rsidRPr="00000000">
              <w:rPr>
                <w:rFonts w:ascii="StobiSerif Regular" w:cs="StobiSerif Regular" w:eastAsia="StobiSerif Regular" w:hAnsi="StobiSerif Regular"/>
                <w:rtl w:val="0"/>
              </w:rPr>
              <w:t xml:space="preserve">за 2024: август (25-31 август 2024) 1 час 08 минути 55 секунди, септември 7 часа 53 минути и 13 секунди, октомври 9 часа 2 минути и 28 секунди, ноември 10 часа 41 минути и 48 секунда, декември 10 часа 38 минути и 19 секунди,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3"/>
                <w:szCs w:val="23"/>
              </w:rPr>
            </w:pPr>
            <w:r w:rsidDel="00000000" w:rsidR="00000000" w:rsidRPr="00000000">
              <w:rPr>
                <w:rFonts w:ascii="StobiSerif Regular" w:cs="StobiSerif Regular" w:eastAsia="StobiSerif Regular" w:hAnsi="StobiSerif Regular"/>
                <w:rtl w:val="0"/>
              </w:rPr>
              <w:t xml:space="preserve">за 2025: јануари 8 часа и 23 минути, февруари 12 часа 37 минути и 07 секунди и март 7 часа 24 минути и 03 секунди  односно вкупно 67 часа 48 минути и 53 секунди. </w:t>
            </w:r>
          </w:p>
          <w:p w:rsidR="00000000" w:rsidDel="00000000" w:rsidP="00000000" w:rsidRDefault="00000000" w:rsidRPr="00000000" w14:paraId="0000001A">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B">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извештајниот период беа реализирани следните видови програмски блокови на емисии: информативната емисија „Собраниски ТВ вести“, која се реализира во континуитет (понеделник-петок) и се емитува во стандардните термини во 10:30, 14:30 и 18:30 часот, како и емисијата „Преглед и највата на настаните“ (сабота и недела); потоа „Законодавен брифинг“, која е исто така емисија од информативен карактер; „Собраниска ризница“ емисија од информатино-документарен формат, понатаму емисијата од актуелен информативен карактер -  „Интервју“, како и блокот едукативни и други видови на емисии. </w:t>
            </w:r>
          </w:p>
          <w:p w:rsidR="00000000" w:rsidDel="00000000" w:rsidP="00000000" w:rsidRDefault="00000000" w:rsidRPr="00000000" w14:paraId="0000001C">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D">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рамките на серијалот емисии Собраниска ризница беа продуцирани и емитувани следните емисии: сала „Македонија“, сала „Купола“; „Методија Андонов Ченто, Панко Брашнаров и Владимир Полежиновски“ - клучни личности од АСНОМ; серијалот кратки емисии посветени на поранешните претседатели на Собранието: М.Андондов Ченто, Л.Колишевски, Љ.Арсов, Д.Несторов, В.Смилевски Бато, Б.Спиров, Н.Минчев, Б.Талевски, М.Хаџивасилев Јасмин, Д.Ставрев, Б.Станковски, С.Андов и емисијата „Собраниска библиотека“, „Скулптури во Собранието“, „Резба Сердарот“, „Спомен соба-АСНОМ“, „Струшка сала“, „Доделување државни награди во Собранието“ и „Мали куполи во Собранието“.</w:t>
            </w:r>
          </w:p>
          <w:p w:rsidR="00000000" w:rsidDel="00000000" w:rsidP="00000000" w:rsidRDefault="00000000" w:rsidRPr="00000000" w14:paraId="0000001E">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F">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делот на продукцијата на едукативни и други емисии беа реализирани и емитувани следниве емисии: Меѓународен ден на демократија, Меѓународен ден на знаковен јазик, Заштитена соба, Дигитален мост – Хакатон, Регистар на организации во Собранието, Имам став, Млад франкофонски парламент, Пратеничките за правата на жените, Пратеничките по повод 8 Март - денот на жената, Пратениците по повод 8 Март – денот на жената и Парламентарна буџетска канцеларија.</w:t>
            </w:r>
          </w:p>
          <w:p w:rsidR="00000000" w:rsidDel="00000000" w:rsidP="00000000" w:rsidRDefault="00000000" w:rsidRPr="00000000" w14:paraId="00000020">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програмскиот блок од информативен каракер „Законодавен брифинг“ беа реализирани и емитувани вкупно 15 емисии.</w:t>
            </w:r>
          </w:p>
          <w:p w:rsidR="00000000" w:rsidDel="00000000" w:rsidP="00000000" w:rsidRDefault="00000000" w:rsidRPr="00000000" w14:paraId="00000021">
            <w:pPr>
              <w:spacing w:line="240" w:lineRule="auto"/>
              <w:ind w:firstLine="708"/>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22">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Почнувајќи од март 2025 година, дел од емисиите кои се емитуваат на Собранискиот канал започнаа да се толкуваат со знаковен јазик од страна на лиценциран толкувач по знаковен јазик. Првата емисија толкувана со знаковен јазик беше емисијата „Дигитален мост – Хакатон“ која се емитува на Собранискиот канал.</w:t>
            </w:r>
          </w:p>
          <w:p w:rsidR="00000000" w:rsidDel="00000000" w:rsidP="00000000" w:rsidRDefault="00000000" w:rsidRPr="00000000" w14:paraId="00000023">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24">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Дополнително, пленарните седници може да се следат во живо и преку Собраниската веб страница (</w:t>
            </w:r>
            <w:hyperlink r:id="rId8">
              <w:r w:rsidDel="00000000" w:rsidR="00000000" w:rsidRPr="00000000">
                <w:rPr>
                  <w:rFonts w:ascii="StobiSerif Regular" w:cs="StobiSerif Regular" w:eastAsia="StobiSerif Regular" w:hAnsi="StobiSerif Regular"/>
                  <w:u w:val="single"/>
                  <w:rtl w:val="0"/>
                </w:rPr>
                <w:t xml:space="preserve">www.sobranie.mk</w:t>
              </w:r>
            </w:hyperlink>
            <w:r w:rsidDel="00000000" w:rsidR="00000000" w:rsidRPr="00000000">
              <w:rPr>
                <w:rFonts w:ascii="StobiSerif Regular" w:cs="StobiSerif Regular" w:eastAsia="StobiSerif Regular" w:hAnsi="StobiSerif Regular"/>
                <w:rtl w:val="0"/>
              </w:rPr>
              <w:t xml:space="preserve">).  </w:t>
            </w:r>
          </w:p>
          <w:p w:rsidR="00000000" w:rsidDel="00000000" w:rsidP="00000000" w:rsidRDefault="00000000" w:rsidRPr="00000000" w14:paraId="00000025">
            <w:pPr>
              <w:spacing w:line="240" w:lineRule="auto"/>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26">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извештајниот период беше изготвен и почна да функционира делот од Веб-страницата на Собранието  посветен на Собранискиот канал, а во чија медија архива започна да се прикачуваат сите видови на продуцирани програмски содржини/емисии од Собраниското ТВ студио. Во делот на Веб-страницата на Собранието посветен на Собранискиот канал е воведена посебна икона со линк за непосредно следење на програмата на Собранискиот канал, даден е опис на различните видови програмски содржини и нивната најава. На Веб-страницата на Собранието преку веб-стриминг можат истовремено да се следат седниците на Собранието и неговите работни тела и да се селектира активноста за следење која е предмет на интерес. Овие содржини се архивираат во медија архивата во Веб-страницата на Собранието каде што можат соодветно да се пребаруваат. </w:t>
            </w:r>
          </w:p>
        </w:tc>
      </w:tr>
      <w:tr>
        <w:trPr>
          <w:cantSplit w:val="0"/>
          <w:tblHeader w:val="0"/>
        </w:trPr>
        <w:tc>
          <w:tcPr>
            <w:shd w:fill="ffe599" w:val="clear"/>
          </w:tcPr>
          <w:p w:rsidR="00000000" w:rsidDel="00000000" w:rsidP="00000000" w:rsidRDefault="00000000" w:rsidRPr="00000000" w14:paraId="00000029">
            <w:pPr>
              <w:spacing w:line="240"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Pr>
          <w:p w:rsidR="00000000" w:rsidDel="00000000" w:rsidP="00000000" w:rsidRDefault="00000000" w:rsidRPr="00000000" w14:paraId="0000002A">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Дополнително за поддршка на содржините што се емитуваат, Собранието преку ПСП програмата обезбеди уште 1.2 милиони денари за избор на копродукција за 2025 година со набавка предвидена во Планот за јавни набавки за 2025 година. Во тек е подготовка на техничка спецификација.</w:t>
            </w:r>
          </w:p>
        </w:tc>
      </w:tr>
    </w:tbl>
    <w:p w:rsidR="00000000" w:rsidDel="00000000" w:rsidP="00000000" w:rsidRDefault="00000000" w:rsidRPr="00000000" w14:paraId="0000002D">
      <w:pPr>
        <w:spacing w:after="160" w:line="259" w:lineRule="auto"/>
        <w:rPr>
          <w:rFonts w:ascii="StobiSerif Regular" w:cs="StobiSerif Regular" w:eastAsia="StobiSerif Regular" w:hAnsi="StobiSerif Regul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branie.mk/detali-na-sovet.nspx?param=046dec8f-7875-49bc-97a7-ec4b618e7c21" TargetMode="External"/><Relationship Id="rId7" Type="http://schemas.openxmlformats.org/officeDocument/2006/relationships/hyperlink" Target="https://www.sobranie.mk/detali-na-materijal.nspx?param=97efc251-5750-486d-9d01-2fc12760b5e2" TargetMode="External"/><Relationship Id="rId8" Type="http://schemas.openxmlformats.org/officeDocument/2006/relationships/hyperlink" Target="http://www.sobranie.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