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rPr>
          <w:rFonts w:ascii="StobiSerif Regular" w:cs="StobiSerif Regular" w:eastAsia="StobiSerif Regular" w:hAnsi="StobiSerif Regular"/>
        </w:rPr>
      </w:pPr>
      <w:r w:rsidDel="00000000" w:rsidR="00000000" w:rsidRPr="00000000">
        <w:rPr>
          <w:rtl w:val="0"/>
        </w:rPr>
      </w:r>
    </w:p>
    <w:tbl>
      <w:tblPr>
        <w:tblStyle w:val="Table1"/>
        <w:tblW w:w="10590.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40"/>
        <w:gridCol w:w="2460"/>
        <w:gridCol w:w="2775"/>
        <w:gridCol w:w="3015"/>
        <w:tblGridChange w:id="0">
          <w:tblGrid>
            <w:gridCol w:w="2340"/>
            <w:gridCol w:w="2460"/>
            <w:gridCol w:w="2775"/>
            <w:gridCol w:w="3015"/>
          </w:tblGrid>
        </w:tblGridChange>
      </w:tblGrid>
      <w:tr>
        <w:trPr>
          <w:cantSplit w:val="0"/>
          <w:tblHeader w:val="0"/>
        </w:trPr>
        <w:tc>
          <w:tcPr>
            <w:gridSpan w:val="4"/>
          </w:tcPr>
          <w:p w:rsidR="00000000" w:rsidDel="00000000" w:rsidP="00000000" w:rsidRDefault="00000000" w:rsidRPr="00000000" w14:paraId="00000002">
            <w:pPr>
              <w:spacing w:after="160" w:line="259" w:lineRule="auto"/>
              <w:ind w:left="720" w:firstLine="0"/>
              <w:jc w:val="center"/>
              <w:rPr>
                <w:rFonts w:ascii="StobiSerif Regular" w:cs="StobiSerif Regular" w:eastAsia="StobiSerif Regular" w:hAnsi="StobiSerif Regular"/>
                <w:b w:val="1"/>
              </w:rPr>
            </w:pPr>
            <w:r w:rsidDel="00000000" w:rsidR="00000000" w:rsidRPr="00000000">
              <w:rPr>
                <w:rFonts w:ascii="StobiSerif Regular" w:cs="StobiSerif Regular" w:eastAsia="StobiSerif Regular" w:hAnsi="StobiSerif Regular"/>
                <w:b w:val="1"/>
                <w:rtl w:val="0"/>
              </w:rPr>
              <w:t xml:space="preserve">ЗАЛОЖБА 1.3. Јавно објавување на склучените договори за концесии и за воспоставување јавно приватно партнерство</w:t>
            </w:r>
          </w:p>
        </w:tc>
      </w:tr>
      <w:tr>
        <w:trPr>
          <w:cantSplit w:val="0"/>
          <w:tblHeader w:val="0"/>
        </w:trPr>
        <w:tc>
          <w:tcPr>
            <w:shd w:fill="ffe599" w:val="clear"/>
          </w:tcPr>
          <w:p w:rsidR="00000000" w:rsidDel="00000000" w:rsidP="00000000" w:rsidRDefault="00000000" w:rsidRPr="00000000" w14:paraId="00000006">
            <w:pPr>
              <w:spacing w:after="160" w:line="259" w:lineRule="auto"/>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Назив на одговорна институција</w:t>
            </w:r>
          </w:p>
        </w:tc>
        <w:tc>
          <w:tcPr>
            <w:gridSpan w:val="3"/>
            <w:shd w:fill="ffe599" w:val="clear"/>
          </w:tcPr>
          <w:p w:rsidR="00000000" w:rsidDel="00000000" w:rsidP="00000000" w:rsidRDefault="00000000" w:rsidRPr="00000000" w14:paraId="00000007">
            <w:pPr>
              <w:spacing w:after="160" w:line="259" w:lineRule="auto"/>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Министерство  за енергетика, рударство и минерални суровини</w:t>
            </w:r>
          </w:p>
          <w:p w:rsidR="00000000" w:rsidDel="00000000" w:rsidP="00000000" w:rsidRDefault="00000000" w:rsidRPr="00000000" w14:paraId="00000008">
            <w:pPr>
              <w:spacing w:after="160" w:line="259" w:lineRule="auto"/>
              <w:rPr>
                <w:rFonts w:ascii="StobiSerif Regular" w:cs="StobiSerif Regular" w:eastAsia="StobiSerif Regular" w:hAnsi="StobiSerif Regular"/>
              </w:rPr>
            </w:pPr>
            <w:r w:rsidDel="00000000" w:rsidR="00000000" w:rsidRPr="00000000">
              <w:rPr>
                <w:rtl w:val="0"/>
              </w:rPr>
            </w:r>
          </w:p>
        </w:tc>
      </w:tr>
      <w:tr>
        <w:trPr>
          <w:cantSplit w:val="0"/>
          <w:tblHeader w:val="0"/>
        </w:trPr>
        <w:tc>
          <w:tcPr>
            <w:shd w:fill="ffe599" w:val="clear"/>
          </w:tcPr>
          <w:p w:rsidR="00000000" w:rsidDel="00000000" w:rsidP="00000000" w:rsidRDefault="00000000" w:rsidRPr="00000000" w14:paraId="0000000B">
            <w:pPr>
              <w:spacing w:after="160" w:line="259" w:lineRule="auto"/>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Ниво на имплементација</w:t>
            </w:r>
          </w:p>
        </w:tc>
        <w:tc>
          <w:tcPr>
            <w:shd w:fill="ffffff" w:val="clear"/>
          </w:tcPr>
          <w:p w:rsidR="00000000" w:rsidDel="00000000" w:rsidP="00000000" w:rsidRDefault="00000000" w:rsidRPr="00000000" w14:paraId="0000000C">
            <w:pPr>
              <w:spacing w:after="160" w:line="259" w:lineRule="auto"/>
              <w:rPr>
                <w:rFonts w:ascii="StobiSerif Regular" w:cs="StobiSerif Regular" w:eastAsia="StobiSerif Regular" w:hAnsi="StobiSerif Regular"/>
                <w:color w:val="ff0000"/>
              </w:rPr>
            </w:pPr>
            <w:r w:rsidDel="00000000" w:rsidR="00000000" w:rsidRPr="00000000">
              <w:rPr>
                <w:rFonts w:ascii="StobiSerif Regular" w:cs="StobiSerif Regular" w:eastAsia="StobiSerif Regular" w:hAnsi="StobiSerif Regular"/>
                <w:rtl w:val="0"/>
              </w:rPr>
              <w:t xml:space="preserve">Во целост</w:t>
            </w:r>
            <w:r w:rsidDel="00000000" w:rsidR="00000000" w:rsidRPr="00000000">
              <w:rPr>
                <w:rtl w:val="0"/>
              </w:rPr>
            </w:r>
          </w:p>
        </w:tc>
        <w:tc>
          <w:tcPr>
            <w:shd w:fill="ed7d31" w:val="clear"/>
          </w:tcPr>
          <w:p w:rsidR="00000000" w:rsidDel="00000000" w:rsidP="00000000" w:rsidRDefault="00000000" w:rsidRPr="00000000" w14:paraId="0000000D">
            <w:pPr>
              <w:spacing w:after="160" w:line="259" w:lineRule="auto"/>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ог</w:t>
            </w:r>
            <w:r w:rsidDel="00000000" w:rsidR="00000000" w:rsidRPr="00000000">
              <w:rPr>
                <w:rFonts w:ascii="StobiSerif Regular" w:cs="StobiSerif Regular" w:eastAsia="StobiSerif Regular" w:hAnsi="StobiSerif Regular"/>
                <w:shd w:fill="ed7d31" w:val="clear"/>
                <w:rtl w:val="0"/>
              </w:rPr>
              <w:t xml:space="preserve">раничено</w:t>
            </w:r>
            <w:r w:rsidDel="00000000" w:rsidR="00000000" w:rsidRPr="00000000">
              <w:rPr>
                <w:rtl w:val="0"/>
              </w:rPr>
            </w:r>
          </w:p>
        </w:tc>
        <w:tc>
          <w:tcPr>
            <w:shd w:fill="ffffff" w:val="clear"/>
          </w:tcPr>
          <w:p w:rsidR="00000000" w:rsidDel="00000000" w:rsidP="00000000" w:rsidRDefault="00000000" w:rsidRPr="00000000" w14:paraId="0000000E">
            <w:pPr>
              <w:spacing w:after="160" w:line="259" w:lineRule="auto"/>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Не е започната/значително доцнење</w:t>
            </w:r>
          </w:p>
        </w:tc>
      </w:tr>
      <w:tr>
        <w:trPr>
          <w:cantSplit w:val="0"/>
          <w:tblHeader w:val="0"/>
        </w:trPr>
        <w:tc>
          <w:tcPr>
            <w:shd w:fill="ffe599" w:val="clear"/>
          </w:tcPr>
          <w:p w:rsidR="00000000" w:rsidDel="00000000" w:rsidP="00000000" w:rsidRDefault="00000000" w:rsidRPr="00000000" w14:paraId="0000000F">
            <w:pPr>
              <w:spacing w:after="160" w:line="259" w:lineRule="auto"/>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Доказ за проценетиот напредок</w:t>
            </w:r>
          </w:p>
        </w:tc>
        <w:tc>
          <w:tcPr>
            <w:gridSpan w:val="3"/>
          </w:tcPr>
          <w:p w:rsidR="00000000" w:rsidDel="00000000" w:rsidP="00000000" w:rsidRDefault="00000000" w:rsidRPr="00000000" w14:paraId="00000010">
            <w:pPr>
              <w:spacing w:after="160" w:line="259" w:lineRule="auto"/>
              <w:rPr>
                <w:rFonts w:ascii="StobiSerif Regular" w:cs="StobiSerif Regular" w:eastAsia="StobiSerif Regular" w:hAnsi="StobiSerif Regular"/>
              </w:rPr>
            </w:pPr>
            <w:hyperlink r:id="rId6">
              <w:r w:rsidDel="00000000" w:rsidR="00000000" w:rsidRPr="00000000">
                <w:rPr>
                  <w:rFonts w:ascii="StobiSerif Regular" w:cs="StobiSerif Regular" w:eastAsia="StobiSerif Regular" w:hAnsi="StobiSerif Regular"/>
                  <w:color w:val="0000ff"/>
                  <w:u w:val="single"/>
                  <w:rtl w:val="0"/>
                </w:rPr>
                <w:t xml:space="preserve">Линк</w:t>
              </w:r>
            </w:hyperlink>
            <w:r w:rsidDel="00000000" w:rsidR="00000000" w:rsidRPr="00000000">
              <w:rPr>
                <w:rFonts w:ascii="StobiSerif Regular" w:cs="StobiSerif Regular" w:eastAsia="StobiSerif Regular" w:hAnsi="StobiSerif Regular"/>
                <w:rtl w:val="0"/>
              </w:rPr>
              <w:t xml:space="preserve"> од објавените договори за концесија за експлоатација на минерални суровини</w:t>
            </w:r>
          </w:p>
        </w:tc>
      </w:tr>
      <w:tr>
        <w:trPr>
          <w:cantSplit w:val="0"/>
          <w:tblHeader w:val="0"/>
        </w:trPr>
        <w:tc>
          <w:tcPr>
            <w:shd w:fill="ffe599" w:val="clear"/>
          </w:tcPr>
          <w:p w:rsidR="00000000" w:rsidDel="00000000" w:rsidP="00000000" w:rsidRDefault="00000000" w:rsidRPr="00000000" w14:paraId="00000013">
            <w:pPr>
              <w:spacing w:after="160" w:line="259" w:lineRule="auto"/>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Опис на резултатите </w:t>
            </w:r>
          </w:p>
        </w:tc>
        <w:tc>
          <w:tcPr>
            <w:gridSpan w:val="3"/>
          </w:tcPr>
          <w:p w:rsidR="00000000" w:rsidDel="00000000" w:rsidP="00000000" w:rsidRDefault="00000000" w:rsidRPr="00000000" w14:paraId="00000014">
            <w:pPr>
              <w:spacing w:line="240" w:lineRule="auto"/>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Бирото за јавни набавки управува со Електронскиот систем за јавни набавки (ЕСЈН), каде e потребно да се објавуваат споменатите договори во заложбата. За проширување на функционалностите на ЕСЈН, идни надградби и подобрувања, Бирото има склучено договор за јавна набавка со одржувач на апликацијата. По одржаниот состанок на работната група последната недела од декември 2024, до одржувачите на апликацијата е </w:t>
            </w:r>
            <w:r w:rsidDel="00000000" w:rsidR="00000000" w:rsidRPr="00000000">
              <w:rPr>
                <w:rFonts w:ascii="StobiSerif Regular" w:cs="StobiSerif Regular" w:eastAsia="StobiSerif Regular" w:hAnsi="StobiSerif Regular"/>
                <w:b w:val="1"/>
                <w:rtl w:val="0"/>
              </w:rPr>
              <w:t xml:space="preserve">креирано барање и во периодов се прави анализа на техничката изводливост на решението.</w:t>
            </w:r>
            <w:r w:rsidDel="00000000" w:rsidR="00000000" w:rsidRPr="00000000">
              <w:rPr>
                <w:rFonts w:ascii="StobiSerif Regular" w:cs="StobiSerif Regular" w:eastAsia="StobiSerif Regular" w:hAnsi="StobiSerif Regular"/>
                <w:rtl w:val="0"/>
              </w:rPr>
              <w:t xml:space="preserve">    </w:t>
            </w:r>
          </w:p>
          <w:p w:rsidR="00000000" w:rsidDel="00000000" w:rsidP="00000000" w:rsidRDefault="00000000" w:rsidRPr="00000000" w14:paraId="00000015">
            <w:pPr>
              <w:spacing w:line="240" w:lineRule="auto"/>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Во врска со заложбата Јавно објавување на склучените договори за концесии и за воспоставување јавно приватно партнерство, од страна на членовите во работната подгрупа се скенирани сите Договори за концесии за експлоатација на минерални суровини и Договори за детални геолошки истражувања и истите од страна на Секторот за информатичка технологија се поставени на веб страната на Министерството за енергетика, рударство и минерални суровин, а се со цел достапност на јавноста.</w:t>
            </w:r>
          </w:p>
          <w:p w:rsidR="00000000" w:rsidDel="00000000" w:rsidP="00000000" w:rsidRDefault="00000000" w:rsidRPr="00000000" w14:paraId="00000016">
            <w:pPr>
              <w:spacing w:line="240" w:lineRule="auto"/>
              <w:jc w:val="both"/>
              <w:rPr>
                <w:rFonts w:ascii="StobiSerif Regular" w:cs="StobiSerif Regular" w:eastAsia="StobiSerif Regular" w:hAnsi="StobiSerif Regular"/>
              </w:rPr>
            </w:pPr>
            <w:r w:rsidDel="00000000" w:rsidR="00000000" w:rsidRPr="00000000">
              <w:rPr>
                <w:rtl w:val="0"/>
              </w:rPr>
            </w:r>
          </w:p>
          <w:p w:rsidR="00000000" w:rsidDel="00000000" w:rsidP="00000000" w:rsidRDefault="00000000" w:rsidRPr="00000000" w14:paraId="00000017">
            <w:pPr>
              <w:spacing w:line="240" w:lineRule="auto"/>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Согласно  член 56 од Законот за концесиии и јавно приватно партнерство, на начин пропишан со Уредбата за формата, содржината и начинот на водење на регистарот на доделени договори за јавно приватно партнерство и концесии, Министерството за енергетика, рударство и минерални суровини води Регистар на доделени договори за воспоставување на јавно приватно партнерство во пишана и електронска форма. Запишувањето во  Регистарот се врши врз основа на доставен  пропишан образец  од страна на јавниот партнер, кој содржи  податоци за  секој склучен договор за воспоставување на јавно приватно партнерство. Јавниот партнер има обврска да го достави образецот со податоци до Министерството за енергетика, рударство и минерални суровини најдоцна 30 дена од денот на склучување на договорот. Притоа напоменуваме дека согласно постоечкото законодавство во оваа област, јавниот партнер нема обврска за доставување на склучените договори, а оттаму и обврска за министерството истите да ги објавува, поради што не сме во можност да ја доставиме бараната документација во скенирана форма.</w:t>
            </w:r>
          </w:p>
        </w:tc>
      </w:tr>
      <w:tr>
        <w:trPr>
          <w:cantSplit w:val="0"/>
          <w:tblHeader w:val="0"/>
        </w:trPr>
        <w:tc>
          <w:tcPr>
            <w:shd w:fill="ffe599" w:val="clear"/>
          </w:tcPr>
          <w:p w:rsidR="00000000" w:rsidDel="00000000" w:rsidP="00000000" w:rsidRDefault="00000000" w:rsidRPr="00000000" w14:paraId="0000001A">
            <w:pPr>
              <w:spacing w:after="160" w:line="259" w:lineRule="auto"/>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Следни чекори</w:t>
            </w:r>
          </w:p>
        </w:tc>
        <w:tc>
          <w:tcPr>
            <w:gridSpan w:val="3"/>
          </w:tcPr>
          <w:p w:rsidR="00000000" w:rsidDel="00000000" w:rsidP="00000000" w:rsidRDefault="00000000" w:rsidRPr="00000000" w14:paraId="0000001B">
            <w:pPr>
              <w:spacing w:line="240" w:lineRule="auto"/>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Со цел одржување на стабилноста на системот надградбите се поставуваат по утврдена динамика и приоритет. Во пристапот кон унапредување на постоечките и развој на нови модули на системот, Бирото за јавни набавки прави детална анализа на влијанието врз стабилноста и безбедноста на системот и можните ефекти од поставените решенија врз целокупната база на ЕСЈН, а со цел зачувување на интегритетот на постапките. </w:t>
            </w:r>
          </w:p>
          <w:p w:rsidR="00000000" w:rsidDel="00000000" w:rsidP="00000000" w:rsidRDefault="00000000" w:rsidRPr="00000000" w14:paraId="0000001C">
            <w:pPr>
              <w:spacing w:line="240" w:lineRule="auto"/>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Во иднина потребно е редовно следење на важноста на Договорите и ажурирање на истите.</w:t>
            </w:r>
          </w:p>
          <w:p w:rsidR="00000000" w:rsidDel="00000000" w:rsidP="00000000" w:rsidRDefault="00000000" w:rsidRPr="00000000" w14:paraId="0000001D">
            <w:pPr>
              <w:spacing w:line="240" w:lineRule="auto"/>
              <w:jc w:val="both"/>
              <w:rPr>
                <w:rFonts w:ascii="StobiSerif Regular" w:cs="StobiSerif Regular" w:eastAsia="StobiSerif Regular" w:hAnsi="StobiSerif Regular"/>
                <w:color w:val="ff0000"/>
              </w:rPr>
            </w:pPr>
            <w:r w:rsidDel="00000000" w:rsidR="00000000" w:rsidRPr="00000000">
              <w:rPr>
                <w:rFonts w:ascii="StobiSerif Regular" w:cs="StobiSerif Regular" w:eastAsia="StobiSerif Regular" w:hAnsi="StobiSerif Regular"/>
                <w:rtl w:val="0"/>
              </w:rPr>
              <w:t xml:space="preserve">Со носење на новиот Закон за јавно приватно партнерство, кој е во фаза на финална подготовка пред негово доставување во владина процедура, со цел обезбедување транспарентност во целокупниот процес на доделување на договорите за воспоставување на јавно приватно партнерство ќе следи воспоставување на Единствен електронски систем за јавно приватно партнерство како електронска поддршка во имплементација на законот, а истиот  ќе го генерира Регистарот  на доделени договори за воспоставување на јавно приватно партнерство кој ќе претставува  основна и единствена  база на податоци за сите склучени договори за воспоставување на јавно приватно партнерство, во кој меѓу другото ќе се објавуваат и склучените  договори за воспоставување на јавно приватно партнерство.</w:t>
            </w:r>
            <w:r w:rsidDel="00000000" w:rsidR="00000000" w:rsidRPr="00000000">
              <w:rPr>
                <w:rtl w:val="0"/>
              </w:rPr>
            </w:r>
          </w:p>
        </w:tc>
      </w:tr>
    </w:tbl>
    <w:p w:rsidR="00000000" w:rsidDel="00000000" w:rsidP="00000000" w:rsidRDefault="00000000" w:rsidRPr="00000000" w14:paraId="00000020">
      <w:pPr>
        <w:spacing w:after="160" w:line="259" w:lineRule="auto"/>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StobiSerif Regular"/>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rPr>
      <w:rFonts w:ascii="Aptos" w:cs="Aptos" w:eastAsia="Aptos" w:hAnsi="Aptos"/>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ea.gov.mk/%D0%B4%D0%BE%D0%BA%D1%83%D0%BC%D0%B5%D0%BD%D1%82%D0%B8/%D0%B4%D0%BE%D0%B3%D0%BE%D0%B2%D0%BE%D1%80%D0%B8-%D0%B7%D0%B0-%D0%BA%D0%BE%D0%BD%D1%86%D0%B5%D1%81%D0%B8%D1%98%D0%B0-%D0%B7%D0%B0-%D0%B5%D0%BA%D1%81%D0%BF%D0%BE%D0%B0%D1%82%D0%B0%D1%86%D0%B8%D1%98/"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