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60" w:line="259" w:lineRule="auto"/>
        <w:rPr>
          <w:rFonts w:ascii="StobiSerif Regular" w:cs="StobiSerif Regular" w:eastAsia="StobiSerif Regular" w:hAnsi="StobiSerif Regular"/>
        </w:rPr>
      </w:pPr>
      <w:r w:rsidDel="00000000" w:rsidR="00000000" w:rsidRPr="00000000">
        <w:rPr>
          <w:rtl w:val="0"/>
        </w:rPr>
      </w:r>
    </w:p>
    <w:tbl>
      <w:tblPr>
        <w:tblStyle w:val="Table1"/>
        <w:tblW w:w="11070.0" w:type="dxa"/>
        <w:jc w:val="left"/>
        <w:tblInd w:w="-9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0"/>
        <w:gridCol w:w="2535"/>
        <w:gridCol w:w="3075"/>
        <w:gridCol w:w="2820"/>
        <w:tblGridChange w:id="0">
          <w:tblGrid>
            <w:gridCol w:w="2640"/>
            <w:gridCol w:w="2535"/>
            <w:gridCol w:w="3075"/>
            <w:gridCol w:w="2820"/>
          </w:tblGrid>
        </w:tblGridChange>
      </w:tblGrid>
      <w:tr>
        <w:trPr>
          <w:cantSplit w:val="0"/>
          <w:tblHeader w:val="0"/>
        </w:trPr>
        <w:tc>
          <w:tcPr>
            <w:gridSpan w:val="4"/>
          </w:tcPr>
          <w:p w:rsidR="00000000" w:rsidDel="00000000" w:rsidP="00000000" w:rsidRDefault="00000000" w:rsidRPr="00000000" w14:paraId="00000003">
            <w:pPr>
              <w:spacing w:after="160" w:line="259" w:lineRule="auto"/>
              <w:ind w:left="720" w:firstLine="0"/>
              <w:jc w:val="center"/>
              <w:rPr>
                <w:rFonts w:ascii="StobiSerif Regular" w:cs="StobiSerif Regular" w:eastAsia="StobiSerif Regular" w:hAnsi="StobiSerif Regular"/>
                <w:b w:val="1"/>
              </w:rPr>
            </w:pPr>
            <w:r w:rsidDel="00000000" w:rsidR="00000000" w:rsidRPr="00000000">
              <w:rPr>
                <w:rFonts w:ascii="StobiSerif Regular" w:cs="StobiSerif Regular" w:eastAsia="StobiSerif Regular" w:hAnsi="StobiSerif Regular"/>
                <w:b w:val="1"/>
                <w:rtl w:val="0"/>
              </w:rPr>
              <w:t xml:space="preserve">ЗАЛОЖБА 1.2. Јавно објавување на имињата на вистинските сопственици на фирмите што имаат склучено договори за јавни набавки, за концесии и за воспоставување јавно приватно партнерство</w:t>
            </w:r>
          </w:p>
        </w:tc>
      </w:tr>
      <w:tr>
        <w:trPr>
          <w:cantSplit w:val="0"/>
          <w:tblHeader w:val="0"/>
        </w:trPr>
        <w:tc>
          <w:tcPr>
            <w:shd w:fill="ffe599" w:val="clear"/>
          </w:tcPr>
          <w:p w:rsidR="00000000" w:rsidDel="00000000" w:rsidP="00000000" w:rsidRDefault="00000000" w:rsidRPr="00000000" w14:paraId="00000007">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Назив на одговорна институција</w:t>
            </w:r>
          </w:p>
        </w:tc>
        <w:tc>
          <w:tcPr>
            <w:gridSpan w:val="3"/>
            <w:shd w:fill="ffe599" w:val="clear"/>
          </w:tcPr>
          <w:p w:rsidR="00000000" w:rsidDel="00000000" w:rsidP="00000000" w:rsidRDefault="00000000" w:rsidRPr="00000000" w14:paraId="00000008">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Кабинет за заменик претседателот на владата задолжен за добро владеење</w:t>
            </w:r>
          </w:p>
          <w:p w:rsidR="00000000" w:rsidDel="00000000" w:rsidP="00000000" w:rsidRDefault="00000000" w:rsidRPr="00000000" w14:paraId="00000009">
            <w:pPr>
              <w:spacing w:after="160" w:line="259" w:lineRule="auto"/>
              <w:rPr>
                <w:rFonts w:ascii="StobiSerif Regular" w:cs="StobiSerif Regular" w:eastAsia="StobiSerif Regular" w:hAnsi="StobiSerif Regular"/>
              </w:rPr>
            </w:pPr>
            <w:r w:rsidDel="00000000" w:rsidR="00000000" w:rsidRPr="00000000">
              <w:rPr>
                <w:rtl w:val="0"/>
              </w:rPr>
            </w:r>
          </w:p>
        </w:tc>
      </w:tr>
      <w:tr>
        <w:trPr>
          <w:cantSplit w:val="0"/>
          <w:tblHeader w:val="0"/>
        </w:trPr>
        <w:tc>
          <w:tcPr>
            <w:shd w:fill="ffe599" w:val="clear"/>
          </w:tcPr>
          <w:p w:rsidR="00000000" w:rsidDel="00000000" w:rsidP="00000000" w:rsidRDefault="00000000" w:rsidRPr="00000000" w14:paraId="0000000C">
            <w:pPr>
              <w:spacing w:after="160" w:line="259" w:lineRule="auto"/>
              <w:ind w:left="-675" w:firstLine="0"/>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Ниво на имплементација</w:t>
            </w:r>
          </w:p>
        </w:tc>
        <w:tc>
          <w:tcPr>
            <w:shd w:fill="ffffff" w:val="clear"/>
          </w:tcPr>
          <w:p w:rsidR="00000000" w:rsidDel="00000000" w:rsidP="00000000" w:rsidRDefault="00000000" w:rsidRPr="00000000" w14:paraId="0000000D">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Во целост</w:t>
            </w:r>
          </w:p>
        </w:tc>
        <w:tc>
          <w:tcPr>
            <w:shd w:fill="ed7d31" w:val="clear"/>
          </w:tcPr>
          <w:p w:rsidR="00000000" w:rsidDel="00000000" w:rsidP="00000000" w:rsidRDefault="00000000" w:rsidRPr="00000000" w14:paraId="0000000E">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ог</w:t>
            </w:r>
            <w:r w:rsidDel="00000000" w:rsidR="00000000" w:rsidRPr="00000000">
              <w:rPr>
                <w:rFonts w:ascii="StobiSerif Regular" w:cs="StobiSerif Regular" w:eastAsia="StobiSerif Regular" w:hAnsi="StobiSerif Regular"/>
                <w:shd w:fill="ed7d31" w:val="clear"/>
                <w:rtl w:val="0"/>
              </w:rPr>
              <w:t xml:space="preserve">раничено</w:t>
            </w:r>
            <w:r w:rsidDel="00000000" w:rsidR="00000000" w:rsidRPr="00000000">
              <w:rPr>
                <w:rtl w:val="0"/>
              </w:rPr>
            </w:r>
          </w:p>
        </w:tc>
        <w:tc>
          <w:tcPr>
            <w:shd w:fill="ffffff" w:val="clear"/>
          </w:tcPr>
          <w:p w:rsidR="00000000" w:rsidDel="00000000" w:rsidP="00000000" w:rsidRDefault="00000000" w:rsidRPr="00000000" w14:paraId="0000000F">
            <w:pPr>
              <w:spacing w:after="160" w:line="259" w:lineRule="auto"/>
              <w:rPr>
                <w:rFonts w:ascii="StobiSerif Regular" w:cs="StobiSerif Regular" w:eastAsia="StobiSerif Regular" w:hAnsi="StobiSerif Regular"/>
                <w:u w:val="single"/>
              </w:rPr>
            </w:pPr>
            <w:r w:rsidDel="00000000" w:rsidR="00000000" w:rsidRPr="00000000">
              <w:rPr>
                <w:rFonts w:ascii="StobiSerif Regular" w:cs="StobiSerif Regular" w:eastAsia="StobiSerif Regular" w:hAnsi="StobiSerif Regular"/>
                <w:u w:val="single"/>
                <w:rtl w:val="0"/>
              </w:rPr>
              <w:t xml:space="preserve">Не е започната/значително доцнење</w:t>
            </w:r>
          </w:p>
        </w:tc>
      </w:tr>
      <w:tr>
        <w:trPr>
          <w:cantSplit w:val="0"/>
          <w:tblHeader w:val="0"/>
        </w:trPr>
        <w:tc>
          <w:tcPr>
            <w:shd w:fill="ffe599" w:val="clear"/>
          </w:tcPr>
          <w:p w:rsidR="00000000" w:rsidDel="00000000" w:rsidP="00000000" w:rsidRDefault="00000000" w:rsidRPr="00000000" w14:paraId="00000010">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Доказ за проценетиот напредок</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numPr>
                <w:ilvl w:val="0"/>
                <w:numId w:val="3"/>
              </w:numPr>
              <w:spacing w:line="240" w:lineRule="auto"/>
              <w:ind w:left="720" w:hanging="360"/>
              <w:rPr>
                <w:rFonts w:ascii="StobiSerif Regular" w:cs="StobiSerif Regular" w:eastAsia="StobiSerif Regular" w:hAnsi="StobiSerif Regular"/>
              </w:rPr>
            </w:pPr>
            <w:hyperlink r:id="rId6">
              <w:r w:rsidDel="00000000" w:rsidR="00000000" w:rsidRPr="00000000">
                <w:rPr>
                  <w:rFonts w:ascii="StobiSerif Regular" w:cs="StobiSerif Regular" w:eastAsia="StobiSerif Regular" w:hAnsi="StobiSerif Regular"/>
                  <w:color w:val="0000ff"/>
                  <w:u w:val="single"/>
                  <w:rtl w:val="0"/>
                </w:rPr>
                <w:t xml:space="preserve">Одржани два состанока:</w:t>
              </w:r>
            </w:hyperlink>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Aptos" w:cs="Aptos" w:eastAsia="Aptos" w:hAnsi="Aptos"/>
              </w:rPr>
            </w:pPr>
            <w:r w:rsidDel="00000000" w:rsidR="00000000" w:rsidRPr="00000000">
              <w:rPr>
                <w:rFonts w:ascii="StobiSerif Regular" w:cs="StobiSerif Regular" w:eastAsia="StobiSerif Regular" w:hAnsi="StobiSerif Regular"/>
                <w:rtl w:val="0"/>
              </w:rPr>
              <w:t xml:space="preserve">30 октомври 2024 година </w:t>
            </w:r>
          </w:p>
          <w:p w:rsidR="00000000" w:rsidDel="00000000" w:rsidP="00000000" w:rsidRDefault="00000000" w:rsidRPr="00000000" w14:paraId="00000013">
            <w:pPr>
              <w:numPr>
                <w:ilvl w:val="0"/>
                <w:numId w:val="1"/>
              </w:numPr>
              <w:spacing w:line="240" w:lineRule="auto"/>
              <w:ind w:left="720" w:hanging="360"/>
              <w:rPr>
                <w:rFonts w:ascii="Aptos" w:cs="Aptos" w:eastAsia="Aptos" w:hAnsi="Aptos"/>
              </w:rPr>
            </w:pPr>
            <w:r w:rsidDel="00000000" w:rsidR="00000000" w:rsidRPr="00000000">
              <w:rPr>
                <w:rFonts w:ascii="StobiSerif Regular" w:cs="StobiSerif Regular" w:eastAsia="StobiSerif Regular" w:hAnsi="StobiSerif Regular"/>
                <w:rtl w:val="0"/>
              </w:rPr>
              <w:t xml:space="preserve">12 ноември 2024 година </w:t>
            </w:r>
          </w:p>
          <w:p w:rsidR="00000000" w:rsidDel="00000000" w:rsidP="00000000" w:rsidRDefault="00000000" w:rsidRPr="00000000" w14:paraId="00000014">
            <w:pPr>
              <w:spacing w:line="240" w:lineRule="auto"/>
              <w:ind w:left="720" w:firstLine="0"/>
              <w:jc w:val="both"/>
              <w:rPr>
                <w:rFonts w:ascii="StobiSerif Regular" w:cs="StobiSerif Regular" w:eastAsia="StobiSerif Regular" w:hAnsi="StobiSerif Regular"/>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StobiSerif Regular" w:cs="StobiSerif Regular" w:eastAsia="StobiSerif Regular" w:hAnsi="StobiSerif Regular"/>
              </w:rPr>
            </w:pPr>
            <w:hyperlink r:id="rId7">
              <w:r w:rsidDel="00000000" w:rsidR="00000000" w:rsidRPr="00000000">
                <w:rPr>
                  <w:rFonts w:ascii="StobiSerif Regular" w:cs="StobiSerif Regular" w:eastAsia="StobiSerif Regular" w:hAnsi="StobiSerif Regular"/>
                  <w:color w:val="0000ff"/>
                  <w:u w:val="single"/>
                  <w:rtl w:val="0"/>
                </w:rPr>
                <w:t xml:space="preserve">Усвоен Оперативен план на Работната група за спроведување на Заложбата 1.2</w:t>
              </w:r>
            </w:hyperlink>
            <w:r w:rsidDel="00000000" w:rsidR="00000000" w:rsidRPr="00000000">
              <w:rPr>
                <w:rFonts w:ascii="StobiSerif Regular" w:cs="StobiSerif Regular" w:eastAsia="StobiSerif Regular" w:hAnsi="StobiSerif Regular"/>
                <w:rtl w:val="0"/>
              </w:rPr>
              <w:t xml:space="preserve"> </w:t>
            </w:r>
          </w:p>
          <w:p w:rsidR="00000000" w:rsidDel="00000000" w:rsidP="00000000" w:rsidRDefault="00000000" w:rsidRPr="00000000" w14:paraId="00000016">
            <w:pPr>
              <w:spacing w:line="240" w:lineRule="auto"/>
              <w:rPr>
                <w:rFonts w:ascii="StobiSerif Regular" w:cs="StobiSerif Regular" w:eastAsia="StobiSerif Regular" w:hAnsi="StobiSerif Regular"/>
              </w:rPr>
            </w:pPr>
            <w:r w:rsidDel="00000000" w:rsidR="00000000" w:rsidRPr="00000000">
              <w:rPr>
                <w:rtl w:val="0"/>
              </w:rPr>
            </w:r>
          </w:p>
        </w:tc>
      </w:tr>
      <w:tr>
        <w:trPr>
          <w:cantSplit w:val="0"/>
          <w:tblHeader w:val="0"/>
        </w:trPr>
        <w:tc>
          <w:tcPr>
            <w:shd w:fill="ffe599" w:val="clear"/>
          </w:tcPr>
          <w:p w:rsidR="00000000" w:rsidDel="00000000" w:rsidP="00000000" w:rsidRDefault="00000000" w:rsidRPr="00000000" w14:paraId="00000019">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Опис на резултатите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Поради процесот на формирање на новото Министерство за енергетика, рударство и минерални суровини, во чии ингеренции е јавно-приватно партнерство, на што конкретно се однесува и заложбата од оваа работна група, и со цел да продолжи процесот на спроведување на целата заложба, да се продолжи со планираното спроведување на делот од заложбата за овозможување на понудувачите во постапките за доделување договор за јавна набавка врз доброволна основа да можат да изберат во образецот на понудата опција да биде објавено името на вистинскиот сопственик на економскиот оператор, кое потоа ќе биде објавено во известувањето за склучен договор.  </w:t>
            </w:r>
          </w:p>
          <w:p w:rsidR="00000000" w:rsidDel="00000000" w:rsidP="00000000" w:rsidRDefault="00000000" w:rsidRPr="00000000" w14:paraId="0000001B">
            <w:pPr>
              <w:spacing w:line="240"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БЈН и ЦРМ ќе продолжат на билатерална основа со активностите за спроведување на овој дел на заложбата, и предвиден е состанок на техничко ниво. </w:t>
            </w:r>
          </w:p>
        </w:tc>
      </w:tr>
      <w:tr>
        <w:trPr>
          <w:cantSplit w:val="0"/>
          <w:tblHeader w:val="0"/>
        </w:trPr>
        <w:tc>
          <w:tcPr>
            <w:shd w:fill="ffe599" w:val="clear"/>
          </w:tcPr>
          <w:p w:rsidR="00000000" w:rsidDel="00000000" w:rsidP="00000000" w:rsidRDefault="00000000" w:rsidRPr="00000000" w14:paraId="0000001E">
            <w:pPr>
              <w:spacing w:after="160" w:line="259" w:lineRule="auto"/>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Следни чекори</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60" w:line="259" w:lineRule="auto"/>
              <w:jc w:val="both"/>
              <w:rPr>
                <w:rFonts w:ascii="StobiSerif Regular" w:cs="StobiSerif Regular" w:eastAsia="StobiSerif Regular" w:hAnsi="StobiSerif Regular"/>
              </w:rPr>
            </w:pPr>
            <w:r w:rsidDel="00000000" w:rsidR="00000000" w:rsidRPr="00000000">
              <w:rPr>
                <w:rFonts w:ascii="StobiSerif Regular" w:cs="StobiSerif Regular" w:eastAsia="StobiSerif Regular" w:hAnsi="StobiSerif Regular"/>
                <w:rtl w:val="0"/>
              </w:rPr>
              <w:t xml:space="preserve">Комплетирање на работната група со претставник од Управата за финансиско разузнавање и одржување на состанок во текот на месец јануари.</w:t>
            </w:r>
          </w:p>
        </w:tc>
      </w:tr>
    </w:tbl>
    <w:p w:rsidR="00000000" w:rsidDel="00000000" w:rsidP="00000000" w:rsidRDefault="00000000" w:rsidRPr="00000000" w14:paraId="00000022">
      <w:pPr>
        <w:spacing w:after="160" w:line="259" w:lineRule="auto"/>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StobiSerif Regul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vp.gov.mk/twg_group/%d0%b1%d0%be%d1%80%d0%b1%d0%b0-%d0%bf%d1%80%d0%be%d1%82%d0%b8%d0%b2-%d0%ba%d0%be%d1%80%d1%83%d0%bf%d1%86%d0%b8%d1%98%d0%b0%d1%82%d0%b0%d1%81/" TargetMode="External"/><Relationship Id="rId7" Type="http://schemas.openxmlformats.org/officeDocument/2006/relationships/hyperlink" Target="https://ovp.gov.mk/twg_group/%d0%b1%d0%be%d1%80%d0%b1%d0%b0-%d0%bf%d1%80%d0%be%d1%82%d0%b8%d0%b2-%d0%ba%d0%be%d1%80%d1%83%d0%bf%d1%86%d0%b8%d1%98%d0%b0%d1%82%d0%b0%d1%81/"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