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3660"/>
        </w:tabs>
        <w:spacing w:line="240" w:lineRule="auto"/>
        <w:jc w:val="both"/>
        <w:rPr>
          <w:rFonts w:ascii="StobiSerif Regular" w:cs="StobiSerif Regular" w:eastAsia="StobiSerif Regular" w:hAnsi="StobiSerif Regular"/>
        </w:rPr>
      </w:pPr>
      <w:r w:rsidDel="00000000" w:rsidR="00000000" w:rsidRPr="00000000">
        <w:rPr>
          <w:rtl w:val="0"/>
        </w:rPr>
      </w:r>
    </w:p>
    <w:tbl>
      <w:tblPr>
        <w:tblStyle w:val="Table1"/>
        <w:tblW w:w="10365.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20"/>
        <w:gridCol w:w="2205"/>
        <w:gridCol w:w="3045"/>
        <w:gridCol w:w="2595"/>
        <w:tblGridChange w:id="0">
          <w:tblGrid>
            <w:gridCol w:w="2520"/>
            <w:gridCol w:w="2205"/>
            <w:gridCol w:w="3045"/>
            <w:gridCol w:w="2595"/>
          </w:tblGrid>
        </w:tblGridChange>
      </w:tblGrid>
      <w:tr>
        <w:trPr>
          <w:cantSplit w:val="0"/>
          <w:tblHeader w:val="0"/>
        </w:trPr>
        <w:tc>
          <w:tcPr>
            <w:gridSpan w:val="4"/>
            <w:shd w:fill="ffe599" w:val="clear"/>
          </w:tcPr>
          <w:p w:rsidR="00000000" w:rsidDel="00000000" w:rsidP="00000000" w:rsidRDefault="00000000" w:rsidRPr="00000000" w14:paraId="00000002">
            <w:pPr>
              <w:tabs>
                <w:tab w:val="left" w:leader="none" w:pos="3660"/>
              </w:tabs>
              <w:spacing w:line="240" w:lineRule="auto"/>
              <w:jc w:val="center"/>
              <w:rPr>
                <w:rFonts w:ascii="StobiSerif Regular" w:cs="StobiSerif Regular" w:eastAsia="StobiSerif Regular" w:hAnsi="StobiSerif Regular"/>
                <w:b w:val="1"/>
              </w:rPr>
            </w:pPr>
            <w:r w:rsidDel="00000000" w:rsidR="00000000" w:rsidRPr="00000000">
              <w:rPr>
                <w:rFonts w:ascii="StobiSerif Regular" w:cs="StobiSerif Regular" w:eastAsia="StobiSerif Regular" w:hAnsi="StobiSerif Regular"/>
                <w:b w:val="1"/>
                <w:rtl w:val="0"/>
              </w:rPr>
              <w:t xml:space="preserve">1.ПРИСТАП ДО ИНФОРМАЦИИ И ПОДАТОЦИ</w:t>
            </w:r>
          </w:p>
        </w:tc>
      </w:tr>
      <w:tr>
        <w:trPr>
          <w:cantSplit w:val="0"/>
          <w:trHeight w:val="365" w:hRule="atLeast"/>
          <w:tblHeader w:val="0"/>
        </w:trPr>
        <w:tc>
          <w:tcPr>
            <w:gridSpan w:val="4"/>
          </w:tcPr>
          <w:p w:rsidR="00000000" w:rsidDel="00000000" w:rsidP="00000000" w:rsidRDefault="00000000" w:rsidRPr="00000000" w14:paraId="00000006">
            <w:pPr>
              <w:tabs>
                <w:tab w:val="left" w:leader="none" w:pos="3660"/>
              </w:tabs>
              <w:spacing w:line="240" w:lineRule="auto"/>
              <w:jc w:val="center"/>
              <w:rPr>
                <w:rFonts w:ascii="StobiSerif Regular" w:cs="StobiSerif Regular" w:eastAsia="StobiSerif Regular" w:hAnsi="StobiSerif Regular"/>
                <w:b w:val="1"/>
              </w:rPr>
            </w:pPr>
            <w:r w:rsidDel="00000000" w:rsidR="00000000" w:rsidRPr="00000000">
              <w:rPr>
                <w:rFonts w:ascii="StobiSerif Regular" w:cs="StobiSerif Regular" w:eastAsia="StobiSerif Regular" w:hAnsi="StobiSerif Regular"/>
                <w:b w:val="1"/>
                <w:rtl w:val="0"/>
              </w:rPr>
              <w:t xml:space="preserve">ЗАЛОЖБА 1.1 Подобрување на електронскиот судски портал на рсм (www.sud.mk)</w:t>
            </w:r>
          </w:p>
        </w:tc>
      </w:tr>
      <w:tr>
        <w:trPr>
          <w:cantSplit w:val="0"/>
          <w:tblHeader w:val="0"/>
        </w:trPr>
        <w:tc>
          <w:tcPr>
            <w:shd w:fill="ffe599" w:val="clear"/>
          </w:tcPr>
          <w:p w:rsidR="00000000" w:rsidDel="00000000" w:rsidP="00000000" w:rsidRDefault="00000000" w:rsidRPr="00000000" w14:paraId="0000000A">
            <w:pPr>
              <w:tabs>
                <w:tab w:val="left" w:leader="none" w:pos="3660"/>
              </w:tabs>
              <w:spacing w:line="240" w:lineRule="auto"/>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Назив на одговорна институција</w:t>
            </w:r>
          </w:p>
        </w:tc>
        <w:tc>
          <w:tcPr>
            <w:gridSpan w:val="3"/>
            <w:shd w:fill="ffe599" w:val="clear"/>
          </w:tcPr>
          <w:p w:rsidR="00000000" w:rsidDel="00000000" w:rsidP="00000000" w:rsidRDefault="00000000" w:rsidRPr="00000000" w14:paraId="0000000B">
            <w:pPr>
              <w:tabs>
                <w:tab w:val="left" w:leader="none" w:pos="3660"/>
              </w:tabs>
              <w:spacing w:line="240" w:lineRule="auto"/>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Врховен суд на РСМ и Судскиот совет на РСМ</w:t>
            </w:r>
          </w:p>
        </w:tc>
      </w:tr>
      <w:tr>
        <w:trPr>
          <w:cantSplit w:val="0"/>
          <w:tblHeader w:val="0"/>
        </w:trPr>
        <w:tc>
          <w:tcPr>
            <w:shd w:fill="ffe599" w:val="clear"/>
          </w:tcPr>
          <w:p w:rsidR="00000000" w:rsidDel="00000000" w:rsidP="00000000" w:rsidRDefault="00000000" w:rsidRPr="00000000" w14:paraId="0000000E">
            <w:pPr>
              <w:tabs>
                <w:tab w:val="left" w:leader="none" w:pos="3660"/>
              </w:tabs>
              <w:spacing w:line="240" w:lineRule="auto"/>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Ниво на имплементација</w:t>
            </w:r>
          </w:p>
        </w:tc>
        <w:tc>
          <w:tcPr>
            <w:shd w:fill="auto" w:val="clear"/>
          </w:tcPr>
          <w:p w:rsidR="00000000" w:rsidDel="00000000" w:rsidP="00000000" w:rsidRDefault="00000000" w:rsidRPr="00000000" w14:paraId="0000000F">
            <w:pPr>
              <w:tabs>
                <w:tab w:val="left" w:leader="none" w:pos="3660"/>
              </w:tabs>
              <w:spacing w:line="240" w:lineRule="auto"/>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Во целост</w:t>
            </w:r>
          </w:p>
        </w:tc>
        <w:tc>
          <w:tcPr>
            <w:shd w:fill="ed7d31" w:val="clear"/>
          </w:tcPr>
          <w:p w:rsidR="00000000" w:rsidDel="00000000" w:rsidP="00000000" w:rsidRDefault="00000000" w:rsidRPr="00000000" w14:paraId="00000010">
            <w:pPr>
              <w:tabs>
                <w:tab w:val="left" w:leader="none" w:pos="3660"/>
              </w:tabs>
              <w:spacing w:line="240" w:lineRule="auto"/>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ограничено</w:t>
            </w:r>
          </w:p>
        </w:tc>
        <w:tc>
          <w:tcPr>
            <w:shd w:fill="auto" w:val="clear"/>
          </w:tcPr>
          <w:p w:rsidR="00000000" w:rsidDel="00000000" w:rsidP="00000000" w:rsidRDefault="00000000" w:rsidRPr="00000000" w14:paraId="00000011">
            <w:pPr>
              <w:tabs>
                <w:tab w:val="left" w:leader="none" w:pos="3660"/>
              </w:tabs>
              <w:spacing w:line="240" w:lineRule="auto"/>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Не е започната/значително доцнење</w:t>
            </w:r>
          </w:p>
        </w:tc>
      </w:tr>
      <w:tr>
        <w:trPr>
          <w:cantSplit w:val="0"/>
          <w:tblHeader w:val="0"/>
        </w:trPr>
        <w:tc>
          <w:tcPr>
            <w:shd w:fill="ffe599" w:val="clear"/>
          </w:tcPr>
          <w:p w:rsidR="00000000" w:rsidDel="00000000" w:rsidP="00000000" w:rsidRDefault="00000000" w:rsidRPr="00000000" w14:paraId="00000012">
            <w:pPr>
              <w:tabs>
                <w:tab w:val="left" w:leader="none" w:pos="3660"/>
              </w:tabs>
              <w:spacing w:line="240" w:lineRule="auto"/>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Доказ за проценетиот напредок</w:t>
            </w:r>
          </w:p>
        </w:tc>
        <w:tc>
          <w:tcPr>
            <w:gridSpan w:val="3"/>
          </w:tcPr>
          <w:p w:rsidR="00000000" w:rsidDel="00000000" w:rsidP="00000000" w:rsidRDefault="00000000" w:rsidRPr="00000000" w14:paraId="00000013">
            <w:pPr>
              <w:tabs>
                <w:tab w:val="left" w:leader="none" w:pos="3660"/>
              </w:tabs>
              <w:spacing w:line="240" w:lineRule="auto"/>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 На веб порталот (веб страницата на Врховниот суд на Република Северна Македонија www.vsrm.mk), креирана е нова категорија „Општа седница“ на која се објавуваат донесените заклучоци од Општата седница на Врховниот суд на РСМ, а со цел да се овозоможи унапредување на транспарентноста и пристапот до податоците во интерес на јавноста и граѓаните, а во согласност со Декларацијата за отворено судство и заложбите на Советот за отворено судство.</w:t>
            </w:r>
          </w:p>
          <w:p w:rsidR="00000000" w:rsidDel="00000000" w:rsidP="00000000" w:rsidRDefault="00000000" w:rsidRPr="00000000" w14:paraId="00000014">
            <w:pPr>
              <w:tabs>
                <w:tab w:val="left" w:leader="none" w:pos="3660"/>
              </w:tabs>
              <w:spacing w:line="240" w:lineRule="auto"/>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 Исто така, на веб страницата на Врховниот суд на Република Северна Македонија креирана е нова категорија „Регулатива“ во која се објавени процедурите за работата во Врховниот суд на РСМ, политиката за интегритет, заштитата на укажувачи, препораките за снимање и фотографирање во судница, како и прописи од областа на судството. </w:t>
            </w:r>
          </w:p>
          <w:p w:rsidR="00000000" w:rsidDel="00000000" w:rsidP="00000000" w:rsidRDefault="00000000" w:rsidRPr="00000000" w14:paraId="00000015">
            <w:pPr>
              <w:tabs>
                <w:tab w:val="left" w:leader="none" w:pos="3660"/>
              </w:tabs>
              <w:spacing w:line="240" w:lineRule="auto"/>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 Воедно, на веб страницата на Врховниот суд на РСМ, интегрално се објавени податоците согласно насоките на Агенцијата за слободен пристап до информации од јавен карактер, која нотираше рапиден пораст на транспарентноста на Врховниот суд на РСМ. Пристапот до наведените податоци е во согласност со заложбите на Советот за отворено судство и потпишаната Декларација во делот за олеснување на пристапот на информации до јавноста. </w:t>
            </w:r>
          </w:p>
          <w:p w:rsidR="00000000" w:rsidDel="00000000" w:rsidP="00000000" w:rsidRDefault="00000000" w:rsidRPr="00000000" w14:paraId="00000016">
            <w:pPr>
              <w:tabs>
                <w:tab w:val="left" w:leader="none" w:pos="3660"/>
              </w:tabs>
              <w:spacing w:line="240" w:lineRule="auto"/>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Во рамки на Советот за отворено судство беше извршено фотографирање на судиите на Врховниот суд на Република Северна Македонија и фотографиите се објавени на веб страницата на судот за секој судија поединечно, како дел од процесот за унапредена видливост на веб страниците на судовите. </w:t>
            </w:r>
          </w:p>
          <w:p w:rsidR="00000000" w:rsidDel="00000000" w:rsidP="00000000" w:rsidRDefault="00000000" w:rsidRPr="00000000" w14:paraId="00000017">
            <w:pPr>
              <w:tabs>
                <w:tab w:val="left" w:leader="none" w:pos="3660"/>
              </w:tabs>
              <w:spacing w:line="240" w:lineRule="auto"/>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Судскиот совет на РСМ во изминатиот период ја има зголемено отвореноста преку достапност до документите и записниците од седниците кои ги одржува. Имено, за секоја седница навремено неколку дена претходно го објавува дневниот ред со точките за дискусија како и записник од одржаната седница. Покрај ова, сите седници на Судскиот совет се редовно пренесувани на Фејсбук од страна на Македонската информативна агенција и притоа е дозволено присуство на јавноста на седниците.</w:t>
            </w:r>
          </w:p>
          <w:p w:rsidR="00000000" w:rsidDel="00000000" w:rsidP="00000000" w:rsidRDefault="00000000" w:rsidRPr="00000000" w14:paraId="00000018">
            <w:pPr>
              <w:tabs>
                <w:tab w:val="left" w:leader="none" w:pos="3660"/>
              </w:tabs>
              <w:spacing w:line="240" w:lineRule="auto"/>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Судскиот совет врши контрола над содржината за веб страниците на судовите и за тоа дава забелешки за подобрување на транспарентноста. Но овој процес не влијае на подобрување на транспарентноста и отвореноста бидејќи нема подобрувања во делот на отворени податоци или зголемување на транспарентноста.</w:t>
            </w:r>
          </w:p>
          <w:p w:rsidR="00000000" w:rsidDel="00000000" w:rsidP="00000000" w:rsidRDefault="00000000" w:rsidRPr="00000000" w14:paraId="00000019">
            <w:pPr>
              <w:tabs>
                <w:tab w:val="left" w:leader="none" w:pos="3660"/>
              </w:tabs>
              <w:spacing w:line="240" w:lineRule="auto"/>
              <w:jc w:val="both"/>
              <w:rPr>
                <w:rFonts w:ascii="StobiSerif Regular" w:cs="StobiSerif Regular" w:eastAsia="StobiSerif Regular" w:hAnsi="StobiSerif Regular"/>
              </w:rPr>
            </w:pPr>
            <w:r w:rsidDel="00000000" w:rsidR="00000000" w:rsidRPr="00000000">
              <w:rPr>
                <w:rtl w:val="0"/>
              </w:rPr>
            </w:r>
          </w:p>
        </w:tc>
      </w:tr>
      <w:tr>
        <w:trPr>
          <w:cantSplit w:val="0"/>
          <w:tblHeader w:val="0"/>
        </w:trPr>
        <w:tc>
          <w:tcPr>
            <w:shd w:fill="ffe599" w:val="clear"/>
          </w:tcPr>
          <w:p w:rsidR="00000000" w:rsidDel="00000000" w:rsidP="00000000" w:rsidRDefault="00000000" w:rsidRPr="00000000" w14:paraId="0000001C">
            <w:pPr>
              <w:tabs>
                <w:tab w:val="left" w:leader="none" w:pos="3660"/>
              </w:tabs>
              <w:spacing w:line="240" w:lineRule="auto"/>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Опис на резултатите </w:t>
            </w:r>
          </w:p>
        </w:tc>
        <w:tc>
          <w:tcPr>
            <w:gridSpan w:val="3"/>
          </w:tcPr>
          <w:p w:rsidR="00000000" w:rsidDel="00000000" w:rsidP="00000000" w:rsidRDefault="00000000" w:rsidRPr="00000000" w14:paraId="0000001D">
            <w:pPr>
              <w:tabs>
                <w:tab w:val="left" w:leader="none" w:pos="3660"/>
              </w:tabs>
              <w:spacing w:line="240" w:lineRule="auto"/>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 Резултатите од унапредувањето на веб страницата на Врховниот суд на Република Северна Македонија се нотирани во релевантните меѓународни ( ЕУ, Стејт Департмент, ОБСЕ) извештаи, како и во домашните извештаи (Агенцијата за слободен пристап до информации од јавен карактер, Транспаретност Македонија и граѓански организации). Целта на посочените новини е да се обезбеди унапредена отчетност и транспарентност во рамки на процесот „Отворено судство“ како континуиран процес од кој е произлезено етаблирањето на Советот за отворено судство. </w:t>
            </w:r>
          </w:p>
          <w:p w:rsidR="00000000" w:rsidDel="00000000" w:rsidP="00000000" w:rsidRDefault="00000000" w:rsidRPr="00000000" w14:paraId="0000001E">
            <w:pPr>
              <w:tabs>
                <w:tab w:val="left" w:leader="none" w:pos="3660"/>
              </w:tabs>
              <w:spacing w:line="240" w:lineRule="auto"/>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Јавноста е целосно запознаена со начинот на работата и содржината на дискусиите кои се водат во рамките на седниците на Судскиот совет на РСМ. Ова има посебен ефект кога станува збор за постапки за утврдување на одговорност на судии за кои постои посебен јавен интерес.</w:t>
            </w:r>
          </w:p>
          <w:p w:rsidR="00000000" w:rsidDel="00000000" w:rsidP="00000000" w:rsidRDefault="00000000" w:rsidRPr="00000000" w14:paraId="0000001F">
            <w:pPr>
              <w:tabs>
                <w:tab w:val="left" w:leader="none" w:pos="3660"/>
              </w:tabs>
              <w:spacing w:line="240" w:lineRule="auto"/>
              <w:jc w:val="both"/>
              <w:rPr>
                <w:rFonts w:ascii="StobiSerif Regular" w:cs="StobiSerif Regular" w:eastAsia="StobiSerif Regular" w:hAnsi="StobiSerif Regular"/>
              </w:rPr>
            </w:pPr>
            <w:r w:rsidDel="00000000" w:rsidR="00000000" w:rsidRPr="00000000">
              <w:rPr>
                <w:rtl w:val="0"/>
              </w:rPr>
            </w:r>
          </w:p>
        </w:tc>
      </w:tr>
      <w:tr>
        <w:trPr>
          <w:cantSplit w:val="0"/>
          <w:tblHeader w:val="0"/>
        </w:trPr>
        <w:tc>
          <w:tcPr>
            <w:shd w:fill="ffe599" w:val="clear"/>
          </w:tcPr>
          <w:p w:rsidR="00000000" w:rsidDel="00000000" w:rsidP="00000000" w:rsidRDefault="00000000" w:rsidRPr="00000000" w14:paraId="00000022">
            <w:pPr>
              <w:tabs>
                <w:tab w:val="left" w:leader="none" w:pos="3660"/>
              </w:tabs>
              <w:spacing w:line="240" w:lineRule="auto"/>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Следни чекори</w:t>
            </w:r>
          </w:p>
        </w:tc>
        <w:tc>
          <w:tcPr>
            <w:gridSpan w:val="3"/>
          </w:tcPr>
          <w:p w:rsidR="00000000" w:rsidDel="00000000" w:rsidP="00000000" w:rsidRDefault="00000000" w:rsidRPr="00000000" w14:paraId="00000023">
            <w:pPr>
              <w:tabs>
                <w:tab w:val="left" w:leader="none" w:pos="3660"/>
              </w:tabs>
              <w:spacing w:line="240" w:lineRule="auto"/>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Следните чекори во врска со унапредувањето на судскиот портал се во корелација со взаемната соработка со Судскиот совет на РСМ, Советот за ИКТ во правосудството, Судско-медиумскиот совет, судовите во Република Северна Македонија и надлежните правосудни институции. Остварувањето на зацртаните цели и заложби предизвикуваат финансиски импликации и во следниот период е потребна поддршка на започнатите активности и ефикасно делување на Советот за отворено судство. </w:t>
            </w:r>
          </w:p>
          <w:p w:rsidR="00000000" w:rsidDel="00000000" w:rsidP="00000000" w:rsidRDefault="00000000" w:rsidRPr="00000000" w14:paraId="00000024">
            <w:pPr>
              <w:tabs>
                <w:tab w:val="left" w:leader="none" w:pos="3660"/>
              </w:tabs>
              <w:spacing w:line="240" w:lineRule="auto"/>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Потребно е да се промени начинот на известување во однос на постапките за утврдување на одговорност на начин на кој ќе се обезбедат повеќе информации за јавноста за судиите кои учествуваат во овие постапки. </w:t>
            </w:r>
          </w:p>
        </w:tc>
      </w:tr>
    </w:tbl>
    <w:p w:rsidR="00000000" w:rsidDel="00000000" w:rsidP="00000000" w:rsidRDefault="00000000" w:rsidRPr="00000000" w14:paraId="00000027">
      <w:pPr>
        <w:tabs>
          <w:tab w:val="left" w:leader="none" w:pos="3660"/>
        </w:tabs>
        <w:spacing w:line="240" w:lineRule="auto"/>
        <w:jc w:val="both"/>
        <w:rPr>
          <w:rFonts w:ascii="StobiSerif Regular" w:cs="StobiSerif Regular" w:eastAsia="StobiSerif Regular" w:hAnsi="StobiSerif Regula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StobiSerif Regula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