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660"/>
        </w:tabs>
        <w:spacing w:line="240" w:lineRule="auto"/>
        <w:jc w:val="both"/>
        <w:rPr>
          <w:rFonts w:ascii="StobiSerif Regular" w:cs="StobiSerif Regular" w:eastAsia="StobiSerif Regular" w:hAnsi="StobiSerif Regul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5"/>
        <w:gridCol w:w="2640"/>
        <w:gridCol w:w="2700"/>
        <w:gridCol w:w="1875"/>
        <w:tblGridChange w:id="0">
          <w:tblGrid>
            <w:gridCol w:w="2685"/>
            <w:gridCol w:w="2640"/>
            <w:gridCol w:w="2700"/>
            <w:gridCol w:w="1875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fe599" w:val="clea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ОТВОРЕН  ПАРЛАМЕНТ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line="240" w:lineRule="auto"/>
              <w:ind w:left="720" w:firstLine="0"/>
              <w:jc w:val="center"/>
              <w:rPr>
                <w:rFonts w:ascii="StobiSerif Regular" w:cs="StobiSerif Regular" w:eastAsia="StobiSerif Regular" w:hAnsi="StobiSerif Regular"/>
                <w:b w:val="1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b w:val="1"/>
                <w:rtl w:val="0"/>
              </w:rPr>
              <w:t xml:space="preserve">ЗАЛОЖБА1. Регистар на регулаторни тела основани од Собранието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Назив на одговорна институција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Собрание на РСМ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Ниво на имплементација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Во целост</w:t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ог</w:t>
            </w:r>
            <w:r w:rsidDel="00000000" w:rsidR="00000000" w:rsidRPr="00000000">
              <w:rPr>
                <w:rFonts w:ascii="StobiSerif Regular" w:cs="StobiSerif Regular" w:eastAsia="StobiSerif Regular" w:hAnsi="StobiSerif Regular"/>
                <w:shd w:fill="ed7d31" w:val="clear"/>
                <w:rtl w:val="0"/>
              </w:rPr>
              <w:t xml:space="preserve">раничено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Не е започната/значително доцнење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Доказ за проценетиот напредок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Собранието обезбеди средства за оваа набавка во износ на 1.25 милиони денари преку Програмата за парламентарна поддршка и ја предвиде оваа постапка во Планот за јавни набавки за 2025 година </w:t>
            </w:r>
            <w:hyperlink r:id="rId6">
              <w:r w:rsidDel="00000000" w:rsidR="00000000" w:rsidRPr="00000000">
                <w:rPr>
                  <w:rFonts w:ascii="StobiSerif Regular" w:cs="StobiSerif Regular" w:eastAsia="StobiSerif Regular" w:hAnsi="StobiSerif Regular"/>
                  <w:color w:val="0563c1"/>
                  <w:u w:val="single"/>
                  <w:rtl w:val="0"/>
                </w:rPr>
                <w:t xml:space="preserve">https://www.sobranie.mk/planirani-nabavki.nspx</w:t>
              </w:r>
            </w:hyperlink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. Во тек е подготовка на техничка спецификација за спроведување на набавката.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Опис на резултатите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Решението кое е прифатено е да биде надградба на софтверска апликација Портал за отворени податоци </w:t>
            </w:r>
            <w:hyperlink r:id="rId7">
              <w:r w:rsidDel="00000000" w:rsidR="00000000" w:rsidRPr="00000000">
                <w:rPr>
                  <w:rFonts w:ascii="StobiSerif Regular" w:cs="StobiSerif Regular" w:eastAsia="StobiSerif Regular" w:hAnsi="StobiSerif Regular"/>
                  <w:color w:val="0563c1"/>
                  <w:u w:val="single"/>
                  <w:rtl w:val="0"/>
                </w:rPr>
                <w:t xml:space="preserve">https://data.sobranie.mk/</w:t>
              </w:r>
            </w:hyperlink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, заради природата на предметот на набавката. Резултатот од оваа решение ќе биде пополнување на регистар на информации за именувани и избрани лица од Собранието, во отворен, пребарлив и лесно достапен формат, со имиња и презимиња на носители на функции, траење на мандати, приложени биографии, наместо целокупно ново хардверско и софтверско побарување.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Следни чекори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Донесување на одлука за спроведување на јавна набавка, формирање на комисија за спроведување на јавна набавка, имплементација на решението 4 месеци со тест период и предавање на Собранието за користење од страна на економски оператор. </w:t>
            </w:r>
          </w:p>
        </w:tc>
      </w:tr>
    </w:tbl>
    <w:p w:rsidR="00000000" w:rsidDel="00000000" w:rsidP="00000000" w:rsidRDefault="00000000" w:rsidRPr="00000000" w14:paraId="0000001E">
      <w:pPr>
        <w:spacing w:after="160" w:line="259" w:lineRule="auto"/>
        <w:rPr>
          <w:rFonts w:ascii="StobiSerif Regular" w:cs="StobiSerif Regular" w:eastAsia="StobiSerif Regular" w:hAnsi="StobiSerif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3660"/>
        </w:tabs>
        <w:spacing w:line="240" w:lineRule="auto"/>
        <w:jc w:val="both"/>
        <w:rPr>
          <w:rFonts w:ascii="StobiSerif Regular" w:cs="StobiSerif Regular" w:eastAsia="StobiSerif Regular" w:hAnsi="StobiSerif Regular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StobiSerif Regula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rFonts w:ascii="Aptos" w:cs="Aptos" w:eastAsia="Aptos" w:hAnsi="Aptos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obranie.mk/planirani-nabavki.nspx" TargetMode="External"/><Relationship Id="rId7" Type="http://schemas.openxmlformats.org/officeDocument/2006/relationships/hyperlink" Target="https://data.sobranie.m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