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21EE" w14:textId="77777777" w:rsidR="003D6056" w:rsidRDefault="003D6056" w:rsidP="003D6056">
      <w:pPr>
        <w:pStyle w:val="BodyText"/>
        <w:spacing w:after="0"/>
        <w:jc w:val="both"/>
      </w:pPr>
    </w:p>
    <w:p w14:paraId="7EF6911B" w14:textId="0AA94FC4" w:rsidR="003D6056" w:rsidRDefault="003D6056" w:rsidP="003D6056">
      <w:pPr>
        <w:pStyle w:val="BodyText"/>
        <w:spacing w:after="0"/>
        <w:jc w:val="both"/>
      </w:pPr>
    </w:p>
    <w:p w14:paraId="1C65C156" w14:textId="06B6BD63" w:rsidR="003D6056" w:rsidRDefault="003D6056" w:rsidP="003D6056">
      <w:pPr>
        <w:pStyle w:val="BodyText"/>
        <w:spacing w:after="0"/>
        <w:jc w:val="both"/>
      </w:pPr>
    </w:p>
    <w:p w14:paraId="2B8C3AD6" w14:textId="3DB9DC3D" w:rsidR="003D6056" w:rsidRDefault="003D6056" w:rsidP="003D6056">
      <w:pPr>
        <w:pStyle w:val="BodyText"/>
        <w:spacing w:after="0"/>
        <w:jc w:val="both"/>
      </w:pPr>
    </w:p>
    <w:p w14:paraId="1E42E85A" w14:textId="07D89685" w:rsidR="003D6056" w:rsidRDefault="003D6056" w:rsidP="003D6056">
      <w:pPr>
        <w:pStyle w:val="BodyText"/>
        <w:spacing w:after="0"/>
        <w:jc w:val="both"/>
      </w:pPr>
    </w:p>
    <w:p w14:paraId="1B132D48" w14:textId="49BCE924" w:rsidR="003D6056" w:rsidRDefault="003D6056" w:rsidP="003D6056">
      <w:pPr>
        <w:pStyle w:val="BodyText"/>
        <w:spacing w:after="0"/>
        <w:jc w:val="both"/>
      </w:pPr>
    </w:p>
    <w:p w14:paraId="6F48D694" w14:textId="585CD710" w:rsidR="003D6056" w:rsidRDefault="003D6056" w:rsidP="003D6056">
      <w:pPr>
        <w:pStyle w:val="BodyText"/>
        <w:spacing w:after="0"/>
        <w:jc w:val="both"/>
      </w:pPr>
    </w:p>
    <w:p w14:paraId="7CB35ED8" w14:textId="77777777" w:rsidR="003D6056" w:rsidRDefault="003D6056" w:rsidP="003D6056">
      <w:pPr>
        <w:pStyle w:val="BodyText"/>
        <w:spacing w:after="0"/>
        <w:jc w:val="both"/>
      </w:pPr>
    </w:p>
    <w:p w14:paraId="5429BD5B" w14:textId="77777777" w:rsidR="003D6056" w:rsidRDefault="003D6056" w:rsidP="003D6056">
      <w:pPr>
        <w:pStyle w:val="BodyText"/>
        <w:spacing w:after="0"/>
        <w:jc w:val="both"/>
      </w:pPr>
    </w:p>
    <w:p w14:paraId="60523256" w14:textId="77777777" w:rsidR="003D6056" w:rsidRPr="00AA0166" w:rsidRDefault="003D6056" w:rsidP="003D6056">
      <w:pPr>
        <w:pStyle w:val="BodyText"/>
        <w:spacing w:after="0"/>
        <w:jc w:val="center"/>
        <w:rPr>
          <w:rFonts w:ascii="StobiSerif Regular" w:eastAsia="DejaVu Sans" w:hAnsi="StobiSerif Regular" w:cs="DejaVu Sans"/>
          <w:lang w:val="en-US" w:eastAsia="zh-CN"/>
        </w:rPr>
      </w:pPr>
      <w:bookmarkStart w:id="0" w:name="_Hlk126326138"/>
      <w:r w:rsidRPr="00BC2637">
        <w:rPr>
          <w:rFonts w:ascii="StobiSerif Regular" w:eastAsia="DejaVu Sans" w:hAnsi="StobiSerif Regular" w:cs="DejaVu Sans"/>
          <w:b/>
          <w:bCs/>
          <w:lang w:val="en-US" w:eastAsia="zh-CN"/>
        </w:rPr>
        <w:t>ИЗВЕШТАЈ ЗА САМО-ОЦЕНКА ЗА СТАТУСОТ НА ИМПЛЕМЕНТАЦИЈА НА НАЦИОНАЛЕН АКЦИСКИ ПЛАН ЗА ПАРТНЕРСТВО ЗА ОТВОРЕНА ВЛАСТ (2021-2023 ГОДИНА), ЗА ПЕРИОДОТ ОКТОМВРИ 2021 - ОКТОМВРИ 2022 ГОДИНА</w:t>
      </w:r>
    </w:p>
    <w:bookmarkEnd w:id="0"/>
    <w:p w14:paraId="4C61E4C2" w14:textId="77777777" w:rsidR="003D6056" w:rsidRDefault="003D6056" w:rsidP="003D6056">
      <w:pPr>
        <w:pStyle w:val="BodyText"/>
        <w:spacing w:after="0"/>
        <w:jc w:val="both"/>
        <w:rPr>
          <w:rFonts w:ascii="StobiSerif Regular" w:eastAsia="DejaVu Sans" w:hAnsi="StobiSerif Regular" w:cs="DejaVu Sans"/>
          <w:lang w:val="en-US" w:eastAsia="zh-CN"/>
        </w:rPr>
      </w:pPr>
    </w:p>
    <w:p w14:paraId="6291C64F" w14:textId="084A831A" w:rsidR="003D6056" w:rsidRDefault="003D6056" w:rsidP="003D6056">
      <w:pPr>
        <w:pStyle w:val="BodyText"/>
        <w:spacing w:after="0"/>
        <w:jc w:val="both"/>
        <w:rPr>
          <w:rFonts w:ascii="StobiSerif Regular" w:eastAsia="DejaVu Sans" w:hAnsi="StobiSerif Regular" w:cs="DejaVu Sans"/>
          <w:lang w:val="en-US" w:eastAsia="zh-CN"/>
        </w:rPr>
      </w:pPr>
    </w:p>
    <w:p w14:paraId="2D942F06" w14:textId="28DCC3F6" w:rsidR="003D6056" w:rsidRDefault="003D6056" w:rsidP="003D6056">
      <w:pPr>
        <w:pStyle w:val="BodyText"/>
        <w:spacing w:after="0"/>
        <w:jc w:val="both"/>
        <w:rPr>
          <w:rFonts w:ascii="StobiSerif Regular" w:eastAsia="DejaVu Sans" w:hAnsi="StobiSerif Regular" w:cs="DejaVu Sans"/>
          <w:lang w:val="en-US" w:eastAsia="zh-CN"/>
        </w:rPr>
      </w:pPr>
    </w:p>
    <w:p w14:paraId="3856727C" w14:textId="6772C8C6" w:rsidR="003D6056" w:rsidRDefault="003D6056" w:rsidP="003D6056">
      <w:pPr>
        <w:pStyle w:val="BodyText"/>
        <w:spacing w:after="0"/>
        <w:jc w:val="both"/>
        <w:rPr>
          <w:rFonts w:ascii="StobiSerif Regular" w:eastAsia="DejaVu Sans" w:hAnsi="StobiSerif Regular" w:cs="DejaVu Sans"/>
          <w:lang w:val="en-US" w:eastAsia="zh-CN"/>
        </w:rPr>
      </w:pPr>
    </w:p>
    <w:p w14:paraId="398D49F1" w14:textId="7C5A7F9C" w:rsidR="003D6056" w:rsidRDefault="003D6056" w:rsidP="003D6056">
      <w:pPr>
        <w:pStyle w:val="BodyText"/>
        <w:spacing w:after="0"/>
        <w:jc w:val="both"/>
        <w:rPr>
          <w:rFonts w:ascii="StobiSerif Regular" w:eastAsia="DejaVu Sans" w:hAnsi="StobiSerif Regular" w:cs="DejaVu Sans"/>
          <w:lang w:val="en-US" w:eastAsia="zh-CN"/>
        </w:rPr>
      </w:pPr>
    </w:p>
    <w:p w14:paraId="36DE7471" w14:textId="0F25D4C4" w:rsidR="003D6056" w:rsidRDefault="003D6056" w:rsidP="003D6056">
      <w:pPr>
        <w:pStyle w:val="BodyText"/>
        <w:spacing w:after="0"/>
        <w:jc w:val="both"/>
        <w:rPr>
          <w:rFonts w:ascii="StobiSerif Regular" w:eastAsia="DejaVu Sans" w:hAnsi="StobiSerif Regular" w:cs="DejaVu Sans"/>
          <w:lang w:val="en-US" w:eastAsia="zh-CN"/>
        </w:rPr>
      </w:pPr>
    </w:p>
    <w:p w14:paraId="39602225" w14:textId="380AAF19" w:rsidR="003D6056" w:rsidRDefault="003D6056" w:rsidP="003D6056">
      <w:pPr>
        <w:pStyle w:val="BodyText"/>
        <w:spacing w:after="0"/>
        <w:jc w:val="both"/>
        <w:rPr>
          <w:rFonts w:ascii="StobiSerif Regular" w:eastAsia="DejaVu Sans" w:hAnsi="StobiSerif Regular" w:cs="DejaVu Sans"/>
          <w:lang w:val="en-US" w:eastAsia="zh-CN"/>
        </w:rPr>
      </w:pPr>
    </w:p>
    <w:p w14:paraId="0CEC1AC4" w14:textId="58CB8C05" w:rsidR="003D6056" w:rsidRDefault="003D6056" w:rsidP="003D6056">
      <w:pPr>
        <w:pStyle w:val="BodyText"/>
        <w:spacing w:after="0"/>
        <w:jc w:val="both"/>
        <w:rPr>
          <w:rFonts w:ascii="StobiSerif Regular" w:eastAsia="DejaVu Sans" w:hAnsi="StobiSerif Regular" w:cs="DejaVu Sans"/>
          <w:lang w:val="en-US" w:eastAsia="zh-CN"/>
        </w:rPr>
      </w:pPr>
    </w:p>
    <w:p w14:paraId="13C78C36" w14:textId="695AB8C6" w:rsidR="003D6056" w:rsidRDefault="003D6056" w:rsidP="003D6056">
      <w:pPr>
        <w:pStyle w:val="BodyText"/>
        <w:spacing w:after="0"/>
        <w:jc w:val="both"/>
        <w:rPr>
          <w:rFonts w:ascii="StobiSerif Regular" w:eastAsia="DejaVu Sans" w:hAnsi="StobiSerif Regular" w:cs="DejaVu Sans"/>
          <w:lang w:val="en-US" w:eastAsia="zh-CN"/>
        </w:rPr>
      </w:pPr>
    </w:p>
    <w:p w14:paraId="586F76DE" w14:textId="473014EA" w:rsidR="003D6056" w:rsidRDefault="003D6056" w:rsidP="003D6056">
      <w:pPr>
        <w:pStyle w:val="BodyText"/>
        <w:spacing w:after="0"/>
        <w:jc w:val="both"/>
        <w:rPr>
          <w:rFonts w:ascii="StobiSerif Regular" w:eastAsia="DejaVu Sans" w:hAnsi="StobiSerif Regular" w:cs="DejaVu Sans"/>
          <w:lang w:val="en-US" w:eastAsia="zh-CN"/>
        </w:rPr>
      </w:pPr>
    </w:p>
    <w:p w14:paraId="1A9F2EED" w14:textId="67D7EC5F" w:rsidR="003D6056" w:rsidRDefault="003D6056" w:rsidP="003D6056">
      <w:pPr>
        <w:pStyle w:val="BodyText"/>
        <w:spacing w:after="0"/>
        <w:jc w:val="both"/>
        <w:rPr>
          <w:rFonts w:ascii="StobiSerif Regular" w:eastAsia="DejaVu Sans" w:hAnsi="StobiSerif Regular" w:cs="DejaVu Sans"/>
          <w:lang w:val="en-US" w:eastAsia="zh-CN"/>
        </w:rPr>
      </w:pPr>
    </w:p>
    <w:p w14:paraId="6193F424" w14:textId="0409FE0C" w:rsidR="003D6056" w:rsidRDefault="003D6056" w:rsidP="003D6056">
      <w:pPr>
        <w:pStyle w:val="BodyText"/>
        <w:spacing w:after="0"/>
        <w:jc w:val="both"/>
        <w:rPr>
          <w:rFonts w:ascii="StobiSerif Regular" w:eastAsia="DejaVu Sans" w:hAnsi="StobiSerif Regular" w:cs="DejaVu Sans"/>
          <w:lang w:val="en-US" w:eastAsia="zh-CN"/>
        </w:rPr>
      </w:pPr>
    </w:p>
    <w:p w14:paraId="0E63B43B" w14:textId="2205F2CF" w:rsidR="003D6056" w:rsidRDefault="003D6056" w:rsidP="003D6056">
      <w:pPr>
        <w:pStyle w:val="BodyText"/>
        <w:spacing w:after="0"/>
        <w:jc w:val="both"/>
        <w:rPr>
          <w:rFonts w:ascii="StobiSerif Regular" w:eastAsia="DejaVu Sans" w:hAnsi="StobiSerif Regular" w:cs="DejaVu Sans"/>
          <w:lang w:val="en-US" w:eastAsia="zh-CN"/>
        </w:rPr>
      </w:pPr>
    </w:p>
    <w:p w14:paraId="5940AB97" w14:textId="2103A922" w:rsidR="003D6056" w:rsidRDefault="003D6056" w:rsidP="003D6056">
      <w:pPr>
        <w:pStyle w:val="BodyText"/>
        <w:spacing w:after="0"/>
        <w:jc w:val="both"/>
        <w:rPr>
          <w:rFonts w:ascii="StobiSerif Regular" w:eastAsia="DejaVu Sans" w:hAnsi="StobiSerif Regular" w:cs="DejaVu Sans"/>
          <w:lang w:val="en-US" w:eastAsia="zh-CN"/>
        </w:rPr>
      </w:pPr>
    </w:p>
    <w:p w14:paraId="247C38B2" w14:textId="4C97D91C" w:rsidR="003D6056" w:rsidRDefault="003D6056" w:rsidP="003D6056">
      <w:pPr>
        <w:pStyle w:val="BodyText"/>
        <w:spacing w:after="0"/>
        <w:jc w:val="both"/>
        <w:rPr>
          <w:rFonts w:ascii="StobiSerif Regular" w:eastAsia="DejaVu Sans" w:hAnsi="StobiSerif Regular" w:cs="DejaVu Sans"/>
          <w:lang w:val="en-US" w:eastAsia="zh-CN"/>
        </w:rPr>
      </w:pPr>
    </w:p>
    <w:p w14:paraId="7870D5D8" w14:textId="1BC8B509" w:rsidR="003D6056" w:rsidRDefault="003D6056" w:rsidP="003D6056">
      <w:pPr>
        <w:pStyle w:val="BodyText"/>
        <w:spacing w:after="0"/>
        <w:jc w:val="both"/>
        <w:rPr>
          <w:rFonts w:ascii="StobiSerif Regular" w:eastAsia="DejaVu Sans" w:hAnsi="StobiSerif Regular" w:cs="DejaVu Sans"/>
          <w:lang w:val="en-US" w:eastAsia="zh-CN"/>
        </w:rPr>
      </w:pPr>
    </w:p>
    <w:p w14:paraId="7DD5CD98" w14:textId="0E3D2A52" w:rsidR="003D6056" w:rsidRDefault="003D6056" w:rsidP="003D6056">
      <w:pPr>
        <w:pStyle w:val="BodyText"/>
        <w:spacing w:after="0"/>
        <w:jc w:val="both"/>
        <w:rPr>
          <w:rFonts w:ascii="StobiSerif Regular" w:eastAsia="DejaVu Sans" w:hAnsi="StobiSerif Regular" w:cs="DejaVu Sans"/>
          <w:lang w:val="en-US" w:eastAsia="zh-CN"/>
        </w:rPr>
      </w:pPr>
    </w:p>
    <w:p w14:paraId="5B8D470E" w14:textId="55EBD7ED" w:rsidR="003D6056" w:rsidRDefault="003D6056" w:rsidP="003D6056">
      <w:pPr>
        <w:pStyle w:val="BodyText"/>
        <w:spacing w:after="0"/>
        <w:jc w:val="both"/>
        <w:rPr>
          <w:rFonts w:ascii="StobiSerif Regular" w:eastAsia="DejaVu Sans" w:hAnsi="StobiSerif Regular" w:cs="DejaVu Sans"/>
          <w:lang w:val="en-US" w:eastAsia="zh-CN"/>
        </w:rPr>
      </w:pPr>
    </w:p>
    <w:p w14:paraId="53C771E4" w14:textId="25692D05" w:rsidR="003D6056" w:rsidRDefault="003D6056" w:rsidP="003D6056">
      <w:pPr>
        <w:pStyle w:val="BodyText"/>
        <w:spacing w:after="0"/>
        <w:jc w:val="both"/>
        <w:rPr>
          <w:rFonts w:ascii="StobiSerif Regular" w:eastAsia="DejaVu Sans" w:hAnsi="StobiSerif Regular" w:cs="DejaVu Sans"/>
          <w:lang w:val="en-US" w:eastAsia="zh-CN"/>
        </w:rPr>
      </w:pPr>
    </w:p>
    <w:p w14:paraId="4EF0CF97" w14:textId="5FA2C3E4" w:rsidR="003D6056" w:rsidRPr="003D6056" w:rsidRDefault="003D6056" w:rsidP="003D6056">
      <w:pPr>
        <w:pStyle w:val="BodyText"/>
        <w:spacing w:after="0"/>
        <w:jc w:val="center"/>
        <w:rPr>
          <w:rFonts w:ascii="StobiSerif Regular" w:eastAsia="DejaVu Sans" w:hAnsi="StobiSerif Regular" w:cs="DejaVu Sans"/>
          <w:lang w:eastAsia="zh-CN"/>
        </w:rPr>
      </w:pPr>
      <w:r>
        <w:rPr>
          <w:rFonts w:ascii="StobiSerif Regular" w:eastAsia="DejaVu Sans" w:hAnsi="StobiSerif Regular" w:cs="DejaVu Sans"/>
          <w:lang w:eastAsia="zh-CN"/>
        </w:rPr>
        <w:t>Скопје, април 2023</w:t>
      </w:r>
    </w:p>
    <w:p w14:paraId="6EC785F2" w14:textId="776A99FC" w:rsidR="003D6056" w:rsidRDefault="003D6056" w:rsidP="003D6056">
      <w:pPr>
        <w:pStyle w:val="BodyText"/>
        <w:spacing w:after="0"/>
        <w:jc w:val="both"/>
        <w:rPr>
          <w:rFonts w:ascii="StobiSerif Regular" w:eastAsia="DejaVu Sans" w:hAnsi="StobiSerif Regular" w:cs="DejaVu Sans"/>
          <w:lang w:val="en-US" w:eastAsia="zh-CN"/>
        </w:rPr>
      </w:pPr>
    </w:p>
    <w:p w14:paraId="4FA2492A" w14:textId="34D6F24F" w:rsidR="003D6056" w:rsidRDefault="003D6056" w:rsidP="003D6056">
      <w:pPr>
        <w:pStyle w:val="BodyText"/>
        <w:spacing w:after="0"/>
        <w:jc w:val="both"/>
        <w:rPr>
          <w:rFonts w:ascii="StobiSerif Regular" w:eastAsia="DejaVu Sans" w:hAnsi="StobiSerif Regular" w:cs="DejaVu Sans"/>
          <w:lang w:val="en-US" w:eastAsia="zh-CN"/>
        </w:rPr>
      </w:pPr>
    </w:p>
    <w:p w14:paraId="342B23EE" w14:textId="760E2844" w:rsidR="003D6056" w:rsidRDefault="003D6056" w:rsidP="003D6056">
      <w:pPr>
        <w:pStyle w:val="BodyText"/>
        <w:spacing w:after="0"/>
        <w:jc w:val="both"/>
        <w:rPr>
          <w:rFonts w:ascii="StobiSerif Regular" w:eastAsia="DejaVu Sans" w:hAnsi="StobiSerif Regular" w:cs="DejaVu Sans"/>
          <w:lang w:val="en-US" w:eastAsia="zh-CN"/>
        </w:rPr>
      </w:pPr>
    </w:p>
    <w:p w14:paraId="182BAB7F" w14:textId="5E5EE51A" w:rsidR="003D6056" w:rsidRDefault="003D6056" w:rsidP="003D6056">
      <w:pPr>
        <w:pStyle w:val="BodyText"/>
        <w:spacing w:after="0"/>
        <w:jc w:val="both"/>
        <w:rPr>
          <w:rFonts w:ascii="StobiSerif Regular" w:eastAsia="DejaVu Sans" w:hAnsi="StobiSerif Regular" w:cs="DejaVu Sans"/>
          <w:lang w:val="en-US" w:eastAsia="zh-CN"/>
        </w:rPr>
      </w:pPr>
    </w:p>
    <w:p w14:paraId="7987F899" w14:textId="77777777" w:rsidR="003D6056" w:rsidRPr="00AA0166" w:rsidRDefault="003D6056" w:rsidP="003D6056">
      <w:pPr>
        <w:pStyle w:val="BodyText"/>
        <w:spacing w:after="0"/>
        <w:jc w:val="both"/>
        <w:rPr>
          <w:rFonts w:ascii="StobiSerif Regular" w:eastAsia="DejaVu Sans" w:hAnsi="StobiSerif Regular" w:cs="DejaVu Sans"/>
          <w:lang w:val="en-US" w:eastAsia="zh-CN"/>
        </w:rPr>
      </w:pPr>
    </w:p>
    <w:p w14:paraId="0D71AAC1" w14:textId="77777777" w:rsidR="003D6056" w:rsidRPr="00BC2637" w:rsidRDefault="003D6056" w:rsidP="00A52A9A">
      <w:pPr>
        <w:pStyle w:val="BodyText"/>
        <w:numPr>
          <w:ilvl w:val="0"/>
          <w:numId w:val="1"/>
        </w:numPr>
        <w:spacing w:after="0"/>
        <w:jc w:val="both"/>
        <w:rPr>
          <w:rFonts w:ascii="StobiSerif Regular" w:eastAsia="DejaVu Sans" w:hAnsi="StobiSerif Regular" w:cs="DejaVu Sans"/>
          <w:b/>
          <w:bCs/>
          <w:lang w:val="en-US" w:eastAsia="zh-CN"/>
        </w:rPr>
      </w:pPr>
      <w:proofErr w:type="spellStart"/>
      <w:r w:rsidRPr="00BC2637">
        <w:rPr>
          <w:rFonts w:ascii="StobiSerif Regular" w:eastAsia="DejaVu Sans" w:hAnsi="StobiSerif Regular" w:cs="DejaVu Sans"/>
          <w:b/>
          <w:bCs/>
          <w:lang w:val="en-US" w:eastAsia="zh-CN"/>
        </w:rPr>
        <w:t>Вовед</w:t>
      </w:r>
      <w:proofErr w:type="spellEnd"/>
    </w:p>
    <w:p w14:paraId="5CB070B9" w14:textId="77777777" w:rsidR="003D6056" w:rsidRPr="00AA0166" w:rsidRDefault="003D6056" w:rsidP="003D6056">
      <w:pPr>
        <w:pStyle w:val="BodyText"/>
        <w:spacing w:after="0"/>
        <w:jc w:val="both"/>
        <w:rPr>
          <w:rFonts w:ascii="StobiSerif Regular" w:eastAsia="DejaVu Sans" w:hAnsi="StobiSerif Regular" w:cs="DejaVu Sans"/>
          <w:lang w:val="en-US" w:eastAsia="zh-CN"/>
        </w:rPr>
      </w:pPr>
    </w:p>
    <w:p w14:paraId="77E15567" w14:textId="77777777" w:rsidR="003D6056" w:rsidRDefault="003D6056" w:rsidP="003D6056">
      <w:pPr>
        <w:pStyle w:val="BodyText"/>
        <w:spacing w:after="0"/>
        <w:jc w:val="both"/>
        <w:rPr>
          <w:rFonts w:ascii="StobiSerif Regular" w:eastAsia="DejaVu Sans" w:hAnsi="StobiSerif Regular" w:cs="DejaVu Sans"/>
          <w:lang w:val="en-US" w:eastAsia="zh-CN"/>
        </w:rPr>
      </w:pPr>
      <w:proofErr w:type="spellStart"/>
      <w:r>
        <w:rPr>
          <w:rFonts w:ascii="StobiSerif Regular" w:eastAsia="DejaVu Sans" w:hAnsi="StobiSerif Regular" w:cs="DejaVu Sans"/>
          <w:lang w:val="en-US" w:eastAsia="zh-CN"/>
        </w:rPr>
        <w:t>Партнерството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отворена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власт</w:t>
      </w:r>
      <w:proofErr w:type="spellEnd"/>
      <w:r>
        <w:rPr>
          <w:rFonts w:ascii="StobiSerif Regular" w:eastAsia="DejaVu Sans" w:hAnsi="StobiSerif Regular" w:cs="DejaVu Sans"/>
          <w:lang w:val="en-US" w:eastAsia="zh-CN"/>
        </w:rPr>
        <w:t xml:space="preserve"> (ПОВ) e </w:t>
      </w:r>
      <w:proofErr w:type="spellStart"/>
      <w:r>
        <w:rPr>
          <w:rFonts w:ascii="StobiSerif Regular" w:eastAsia="DejaVu Sans" w:hAnsi="StobiSerif Regular" w:cs="DejaVu Sans"/>
          <w:lang w:val="en-US" w:eastAsia="zh-CN"/>
        </w:rPr>
        <w:t>доброволна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меѓународна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иницијатива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која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заснова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идејата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дека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отворената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влада</w:t>
      </w:r>
      <w:proofErr w:type="spellEnd"/>
      <w:r>
        <w:rPr>
          <w:rFonts w:ascii="StobiSerif Regular" w:eastAsia="DejaVu Sans" w:hAnsi="StobiSerif Regular" w:cs="DejaVu Sans"/>
          <w:lang w:val="en-US" w:eastAsia="zh-CN"/>
        </w:rPr>
        <w:t xml:space="preserve"> е </w:t>
      </w:r>
      <w:proofErr w:type="spellStart"/>
      <w:r>
        <w:rPr>
          <w:rFonts w:ascii="StobiSerif Regular" w:eastAsia="DejaVu Sans" w:hAnsi="StobiSerif Regular" w:cs="DejaVu Sans"/>
          <w:lang w:val="en-US" w:eastAsia="zh-CN"/>
        </w:rPr>
        <w:t>подостапна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поодговорна</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поотчетна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кон</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граѓаните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Ова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уникатно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партнерство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ги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комбинира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силите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владините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претставници</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граѓанското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општество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промовира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отворено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партиципативно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инклузивно</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одговорно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владеење</w:t>
      </w:r>
      <w:proofErr w:type="spellEnd"/>
      <w:r>
        <w:rPr>
          <w:rFonts w:ascii="StobiSerif Regular" w:eastAsia="DejaVu Sans" w:hAnsi="StobiSerif Regular" w:cs="DejaVu Sans"/>
          <w:lang w:val="en-US" w:eastAsia="zh-CN"/>
        </w:rPr>
        <w:t>.</w:t>
      </w:r>
    </w:p>
    <w:p w14:paraId="1A963559" w14:textId="77777777" w:rsidR="003D6056" w:rsidRDefault="003D6056" w:rsidP="003D6056">
      <w:pPr>
        <w:pStyle w:val="BodyText"/>
        <w:spacing w:after="0"/>
        <w:jc w:val="both"/>
        <w:rPr>
          <w:rFonts w:ascii="StobiSerif Regular" w:eastAsia="DejaVu Sans" w:hAnsi="StobiSerif Regular" w:cs="DejaVu Sans"/>
          <w:lang w:val="en-US" w:eastAsia="zh-CN"/>
        </w:rPr>
      </w:pPr>
    </w:p>
    <w:p w14:paraId="0F896496" w14:textId="77777777" w:rsidR="003D6056" w:rsidRDefault="003D6056" w:rsidP="003D6056">
      <w:pPr>
        <w:pStyle w:val="BodyText"/>
        <w:spacing w:after="0"/>
        <w:jc w:val="both"/>
        <w:rPr>
          <w:rFonts w:ascii="StobiSerif Regular" w:eastAsia="DejaVu Sans" w:hAnsi="StobiSerif Regular" w:cs="DejaVu Sans"/>
          <w:lang w:val="en-US" w:eastAsia="zh-CN"/>
        </w:rPr>
      </w:pPr>
      <w:proofErr w:type="spellStart"/>
      <w:r>
        <w:rPr>
          <w:rFonts w:ascii="StobiSerif Regular" w:eastAsia="DejaVu Sans" w:hAnsi="StobiSerif Regular" w:cs="DejaVu Sans"/>
          <w:lang w:val="en-US" w:eastAsia="zh-CN"/>
        </w:rPr>
        <w:t>Основната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цел</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ПОВ e </w:t>
      </w:r>
      <w:proofErr w:type="spellStart"/>
      <w:r>
        <w:rPr>
          <w:rFonts w:ascii="StobiSerif Regular" w:eastAsia="DejaVu Sans" w:hAnsi="StobiSerif Regular" w:cs="DejaVu Sans"/>
          <w:lang w:val="en-US" w:eastAsia="zh-CN"/>
        </w:rPr>
        <w:t>да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обезбеди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конкретни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заложби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од</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владите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транспарентност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поддршка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граѓанското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учество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борба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против</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корупцијата</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искористување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новите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технологии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јавната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администрација</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надвор</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од</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неа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поддршка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иновациите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нејзино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остварување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владите</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граѓанското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општество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создаваат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двогодишни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акциски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планови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конкретни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чекори</w:t>
      </w:r>
      <w:proofErr w:type="spellEnd"/>
      <w:r>
        <w:rPr>
          <w:rFonts w:ascii="StobiSerif Regular" w:eastAsia="DejaVu Sans" w:hAnsi="StobiSerif Regular" w:cs="DejaVu Sans"/>
          <w:lang w:val="en-US" w:eastAsia="zh-CN"/>
        </w:rPr>
        <w:t xml:space="preserve"> – </w:t>
      </w:r>
      <w:proofErr w:type="spellStart"/>
      <w:r>
        <w:rPr>
          <w:rFonts w:ascii="StobiSerif Regular" w:eastAsia="DejaVu Sans" w:hAnsi="StobiSerif Regular" w:cs="DejaVu Sans"/>
          <w:lang w:val="en-US" w:eastAsia="zh-CN"/>
        </w:rPr>
        <w:t>обврски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што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им</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овозможува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граѓанските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организации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помогнат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обликувањето</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надгледувањето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работата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владите</w:t>
      </w:r>
      <w:proofErr w:type="spellEnd"/>
      <w:r>
        <w:rPr>
          <w:rFonts w:ascii="StobiSerif Regular" w:eastAsia="DejaVu Sans" w:hAnsi="StobiSerif Regular" w:cs="DejaVu Sans"/>
          <w:lang w:val="en-US" w:eastAsia="zh-CN"/>
        </w:rPr>
        <w:t>.</w:t>
      </w:r>
    </w:p>
    <w:p w14:paraId="24E48C63" w14:textId="77777777" w:rsidR="003D6056" w:rsidRDefault="003D6056" w:rsidP="003D6056">
      <w:pPr>
        <w:pStyle w:val="BodyText"/>
        <w:spacing w:after="0"/>
        <w:jc w:val="both"/>
        <w:rPr>
          <w:rFonts w:ascii="StobiSerif Regular" w:eastAsia="DejaVu Sans" w:hAnsi="StobiSerif Regular" w:cs="DejaVu Sans"/>
          <w:lang w:val="en-US" w:eastAsia="zh-CN"/>
        </w:rPr>
      </w:pPr>
    </w:p>
    <w:p w14:paraId="6EEA66C9" w14:textId="77777777" w:rsidR="003D6056" w:rsidRDefault="003D6056" w:rsidP="003D6056">
      <w:pPr>
        <w:pStyle w:val="BodyText"/>
        <w:spacing w:after="0"/>
        <w:jc w:val="both"/>
        <w:rPr>
          <w:rFonts w:ascii="StobiSerif Regular" w:eastAsia="DejaVu Sans" w:hAnsi="StobiSerif Regular" w:cs="DejaVu Sans"/>
          <w:lang w:val="en-US" w:eastAsia="zh-CN"/>
        </w:rPr>
      </w:pPr>
      <w:proofErr w:type="spellStart"/>
      <w:r>
        <w:rPr>
          <w:rFonts w:ascii="StobiSerif Regular" w:eastAsia="DejaVu Sans" w:hAnsi="StobiSerif Regular" w:cs="DejaVu Sans"/>
          <w:lang w:val="en-US" w:eastAsia="zh-CN"/>
        </w:rPr>
        <w:t>Република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Северна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Македонија</w:t>
      </w:r>
      <w:proofErr w:type="spellEnd"/>
      <w:r>
        <w:rPr>
          <w:rFonts w:ascii="StobiSerif Regular" w:eastAsia="DejaVu Sans" w:hAnsi="StobiSerif Regular" w:cs="DejaVu Sans"/>
          <w:lang w:val="en-US" w:eastAsia="zh-CN"/>
        </w:rPr>
        <w:t xml:space="preserve"> е </w:t>
      </w:r>
      <w:proofErr w:type="spellStart"/>
      <w:r>
        <w:rPr>
          <w:rFonts w:ascii="StobiSerif Regular" w:eastAsia="DejaVu Sans" w:hAnsi="StobiSerif Regular" w:cs="DejaVu Sans"/>
          <w:lang w:val="en-US" w:eastAsia="zh-CN"/>
        </w:rPr>
        <w:t>дел</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од</w:t>
      </w:r>
      <w:proofErr w:type="spellEnd"/>
      <w:r>
        <w:rPr>
          <w:rFonts w:ascii="StobiSerif Regular" w:eastAsia="DejaVu Sans" w:hAnsi="StobiSerif Regular" w:cs="DejaVu Sans"/>
          <w:lang w:val="en-US" w:eastAsia="zh-CN"/>
        </w:rPr>
        <w:t xml:space="preserve"> ПОВ </w:t>
      </w:r>
      <w:proofErr w:type="spellStart"/>
      <w:r>
        <w:rPr>
          <w:rFonts w:ascii="StobiSerif Regular" w:eastAsia="DejaVu Sans" w:hAnsi="StobiSerif Regular" w:cs="DejaVu Sans"/>
          <w:lang w:val="en-US" w:eastAsia="zh-CN"/>
        </w:rPr>
        <w:t>уште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од</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неговото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воспоставување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во</w:t>
      </w:r>
      <w:proofErr w:type="spellEnd"/>
      <w:r>
        <w:rPr>
          <w:rFonts w:ascii="StobiSerif Regular" w:eastAsia="DejaVu Sans" w:hAnsi="StobiSerif Regular" w:cs="DejaVu Sans"/>
          <w:lang w:val="en-US" w:eastAsia="zh-CN"/>
        </w:rPr>
        <w:t xml:space="preserve"> 2011 </w:t>
      </w:r>
      <w:proofErr w:type="spellStart"/>
      <w:r>
        <w:rPr>
          <w:rFonts w:ascii="StobiSerif Regular" w:eastAsia="DejaVu Sans" w:hAnsi="StobiSerif Regular" w:cs="DejaVu Sans"/>
          <w:lang w:val="en-US" w:eastAsia="zh-CN"/>
        </w:rPr>
        <w:t>година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Согласно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обврските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кои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произлегуваат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од</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оваа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глобална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инцијатива</w:t>
      </w:r>
      <w:proofErr w:type="spellEnd"/>
      <w:r>
        <w:rPr>
          <w:rFonts w:ascii="StobiSerif Regular" w:eastAsia="DejaVu Sans" w:hAnsi="StobiSerif Regular" w:cs="DejaVu Sans"/>
          <w:lang w:val="en-US" w:eastAsia="zh-CN"/>
        </w:rPr>
        <w:t xml:space="preserve">, РСМ </w:t>
      </w:r>
      <w:proofErr w:type="spellStart"/>
      <w:r>
        <w:rPr>
          <w:rFonts w:ascii="StobiSerif Regular" w:eastAsia="DejaVu Sans" w:hAnsi="StobiSerif Regular" w:cs="DejaVu Sans"/>
          <w:lang w:val="en-US" w:eastAsia="zh-CN"/>
        </w:rPr>
        <w:t>има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подготвено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пет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акциски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планови</w:t>
      </w:r>
      <w:proofErr w:type="spellEnd"/>
      <w:r>
        <w:rPr>
          <w:rFonts w:ascii="StobiSerif Regular" w:eastAsia="DejaVu Sans" w:hAnsi="StobiSerif Regular" w:cs="DejaVu Sans"/>
          <w:lang w:val="en-US" w:eastAsia="zh-CN"/>
        </w:rPr>
        <w:t xml:space="preserve"> </w:t>
      </w:r>
      <w:hyperlink r:id="rId10" w:history="1">
        <w:r>
          <w:rPr>
            <w:rStyle w:val="Hyperlink"/>
            <w:rFonts w:ascii="StobiSerif Regular" w:eastAsia="DejaVu Sans" w:hAnsi="StobiSerif Regular" w:cs="DejaVu Sans"/>
            <w:lang w:val="en-US" w:eastAsia="zh-CN"/>
          </w:rPr>
          <w:t>(2012-2014; 2014-2016; 2016-2018, 2018-2020, 2021-2023)</w:t>
        </w:r>
      </w:hyperlink>
      <w:r>
        <w:rPr>
          <w:rFonts w:ascii="StobiSerif Regular" w:eastAsia="DejaVu Sans" w:hAnsi="StobiSerif Regular" w:cs="DejaVu Sans"/>
          <w:lang w:val="en-US" w:eastAsia="zh-CN"/>
        </w:rPr>
        <w:t>.</w:t>
      </w:r>
      <w:r>
        <w:rPr>
          <w:rFonts w:ascii="StobiSerif Regular" w:eastAsia="DejaVu Sans" w:hAnsi="StobiSerif Regular" w:cs="DejaVu Sans"/>
          <w:lang w:eastAsia="zh-CN"/>
        </w:rPr>
        <w:t xml:space="preserve"> </w:t>
      </w:r>
      <w:proofErr w:type="spellStart"/>
      <w:r>
        <w:rPr>
          <w:rFonts w:ascii="StobiSerif Regular" w:eastAsia="DejaVu Sans" w:hAnsi="StobiSerif Regular" w:cs="DejaVu Sans"/>
          <w:lang w:val="en-US" w:eastAsia="zh-CN"/>
        </w:rPr>
        <w:t>Посветеноста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отвореност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создаде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многу</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придобивки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правејќи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ја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Владата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потранспарентна</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поодговорна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создавајќи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потенцијал</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развој</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еден</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динамичен</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амбиент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вклученост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ефикасно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управување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јавните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ресурси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градење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системи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интегритет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овозможувачка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околина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локално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ниво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пристап</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информации</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отворени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податоци</w:t>
      </w:r>
      <w:proofErr w:type="spellEnd"/>
      <w:r>
        <w:rPr>
          <w:rFonts w:ascii="StobiSerif Regular" w:eastAsia="DejaVu Sans" w:hAnsi="StobiSerif Regular" w:cs="DejaVu Sans"/>
          <w:lang w:val="en-US" w:eastAsia="zh-CN"/>
        </w:rPr>
        <w:t xml:space="preserve">. </w:t>
      </w:r>
    </w:p>
    <w:p w14:paraId="31762F65" w14:textId="77777777" w:rsidR="003D6056" w:rsidRDefault="003D6056" w:rsidP="003D6056">
      <w:pPr>
        <w:pStyle w:val="BodyText"/>
        <w:spacing w:after="0"/>
        <w:jc w:val="both"/>
        <w:rPr>
          <w:rFonts w:ascii="StobiSerif Regular" w:eastAsia="DejaVu Sans" w:hAnsi="StobiSerif Regular" w:cs="DejaVu Sans"/>
          <w:lang w:val="en-US" w:eastAsia="zh-CN"/>
        </w:rPr>
      </w:pPr>
    </w:p>
    <w:p w14:paraId="1E0511A1" w14:textId="77777777" w:rsidR="003D6056" w:rsidRDefault="003D6056" w:rsidP="003D6056">
      <w:pPr>
        <w:pStyle w:val="BodyText"/>
        <w:spacing w:after="0"/>
        <w:jc w:val="both"/>
        <w:rPr>
          <w:rFonts w:ascii="StobiSerif Regular" w:eastAsia="DejaVu Sans" w:hAnsi="StobiSerif Regular" w:cs="DejaVu Sans"/>
          <w:lang w:val="en-US" w:eastAsia="zh-CN"/>
        </w:rPr>
      </w:pPr>
      <w:proofErr w:type="spellStart"/>
      <w:r>
        <w:rPr>
          <w:rFonts w:ascii="StobiSerif Regular" w:eastAsia="DejaVu Sans" w:hAnsi="StobiSerif Regular" w:cs="DejaVu Sans"/>
          <w:lang w:val="en-US" w:eastAsia="zh-CN"/>
        </w:rPr>
        <w:t>Петтиот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Национален</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акциски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план</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Партнерство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отворена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власт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периодот</w:t>
      </w:r>
      <w:proofErr w:type="spellEnd"/>
      <w:r>
        <w:rPr>
          <w:rFonts w:ascii="StobiSerif Regular" w:eastAsia="DejaVu Sans" w:hAnsi="StobiSerif Regular" w:cs="DejaVu Sans"/>
          <w:lang w:val="en-US" w:eastAsia="zh-CN"/>
        </w:rPr>
        <w:t xml:space="preserve"> 2021-2023 </w:t>
      </w:r>
      <w:proofErr w:type="spellStart"/>
      <w:r>
        <w:rPr>
          <w:rFonts w:ascii="StobiSerif Regular" w:eastAsia="DejaVu Sans" w:hAnsi="StobiSerif Regular" w:cs="DejaVu Sans"/>
          <w:lang w:val="en-US" w:eastAsia="zh-CN"/>
        </w:rPr>
        <w:t>година</w:t>
      </w:r>
      <w:proofErr w:type="spellEnd"/>
      <w:r>
        <w:rPr>
          <w:rFonts w:ascii="StobiSerif Regular" w:eastAsia="DejaVu Sans" w:hAnsi="StobiSerif Regular" w:cs="DejaVu Sans"/>
          <w:lang w:val="en-US" w:eastAsia="zh-CN"/>
        </w:rPr>
        <w:t xml:space="preserve"> (НАП 5), </w:t>
      </w:r>
      <w:proofErr w:type="spellStart"/>
      <w:r>
        <w:rPr>
          <w:rFonts w:ascii="StobiSerif Regular" w:eastAsia="DejaVu Sans" w:hAnsi="StobiSerif Regular" w:cs="DejaVu Sans"/>
          <w:lang w:val="en-US" w:eastAsia="zh-CN"/>
        </w:rPr>
        <w:t>прифатен</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сто</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петнаесеттата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седница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Владата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Р</w:t>
      </w:r>
      <w:proofErr w:type="spellStart"/>
      <w:r>
        <w:rPr>
          <w:rFonts w:ascii="StobiSerif Regular" w:eastAsia="DejaVu Sans" w:hAnsi="StobiSerif Regular" w:cs="DejaVu Sans"/>
          <w:lang w:eastAsia="zh-CN"/>
        </w:rPr>
        <w:t>епублика</w:t>
      </w:r>
      <w:proofErr w:type="spellEnd"/>
      <w:r>
        <w:rPr>
          <w:rFonts w:ascii="StobiSerif Regular" w:eastAsia="DejaVu Sans" w:hAnsi="StobiSerif Regular" w:cs="DejaVu Sans"/>
          <w:lang w:eastAsia="zh-CN"/>
        </w:rPr>
        <w:t xml:space="preserve"> </w:t>
      </w:r>
      <w:r>
        <w:rPr>
          <w:rFonts w:ascii="StobiSerif Regular" w:eastAsia="DejaVu Sans" w:hAnsi="StobiSerif Regular" w:cs="DejaVu Sans"/>
          <w:lang w:val="en-US" w:eastAsia="zh-CN"/>
        </w:rPr>
        <w:t>С</w:t>
      </w:r>
      <w:proofErr w:type="spellStart"/>
      <w:r>
        <w:rPr>
          <w:rFonts w:ascii="StobiSerif Regular" w:eastAsia="DejaVu Sans" w:hAnsi="StobiSerif Regular" w:cs="DejaVu Sans"/>
          <w:lang w:eastAsia="zh-CN"/>
        </w:rPr>
        <w:t>еверна</w:t>
      </w:r>
      <w:proofErr w:type="spellEnd"/>
      <w:r>
        <w:rPr>
          <w:rFonts w:ascii="StobiSerif Regular" w:eastAsia="DejaVu Sans" w:hAnsi="StobiSerif Regular" w:cs="DejaVu Sans"/>
          <w:lang w:eastAsia="zh-CN"/>
        </w:rPr>
        <w:t xml:space="preserve"> </w:t>
      </w:r>
      <w:r>
        <w:rPr>
          <w:rFonts w:ascii="StobiSerif Regular" w:eastAsia="DejaVu Sans" w:hAnsi="StobiSerif Regular" w:cs="DejaVu Sans"/>
          <w:lang w:val="en-US" w:eastAsia="zh-CN"/>
        </w:rPr>
        <w:t>М</w:t>
      </w:r>
      <w:proofErr w:type="spellStart"/>
      <w:r>
        <w:rPr>
          <w:rFonts w:ascii="StobiSerif Regular" w:eastAsia="DejaVu Sans" w:hAnsi="StobiSerif Regular" w:cs="DejaVu Sans"/>
          <w:lang w:eastAsia="zh-CN"/>
        </w:rPr>
        <w:t>акедонија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одржана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26 </w:t>
      </w:r>
      <w:proofErr w:type="spellStart"/>
      <w:r>
        <w:rPr>
          <w:rFonts w:ascii="StobiSerif Regular" w:eastAsia="DejaVu Sans" w:hAnsi="StobiSerif Regular" w:cs="DejaVu Sans"/>
          <w:lang w:val="en-US" w:eastAsia="zh-CN"/>
        </w:rPr>
        <w:t>октомври</w:t>
      </w:r>
      <w:proofErr w:type="spellEnd"/>
      <w:r>
        <w:rPr>
          <w:rFonts w:ascii="StobiSerif Regular" w:eastAsia="DejaVu Sans" w:hAnsi="StobiSerif Regular" w:cs="DejaVu Sans"/>
          <w:lang w:val="en-US" w:eastAsia="zh-CN"/>
        </w:rPr>
        <w:t xml:space="preserve"> 2021 </w:t>
      </w:r>
      <w:proofErr w:type="spellStart"/>
      <w:r>
        <w:rPr>
          <w:rFonts w:ascii="StobiSerif Regular" w:eastAsia="DejaVu Sans" w:hAnsi="StobiSerif Regular" w:cs="DejaVu Sans"/>
          <w:lang w:val="en-US" w:eastAsia="zh-CN"/>
        </w:rPr>
        <w:t>година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надоврзува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претходниот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интензитет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работа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преземање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обврски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зголемување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учеството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јавноста</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испорака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навистина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lastRenderedPageBreak/>
        <w:t>трансформативни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решенија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Исто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така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ја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препознава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потребата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јавниот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сектор</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иновира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развива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политики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што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одговараат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потребите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граѓаните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како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одговор</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современите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текови</w:t>
      </w:r>
      <w:proofErr w:type="spellEnd"/>
      <w:r>
        <w:rPr>
          <w:rFonts w:ascii="StobiSerif Regular" w:eastAsia="DejaVu Sans" w:hAnsi="StobiSerif Regular" w:cs="DejaVu Sans"/>
          <w:lang w:val="en-US" w:eastAsia="zh-CN"/>
        </w:rPr>
        <w:t>.</w:t>
      </w:r>
    </w:p>
    <w:p w14:paraId="43822275" w14:textId="77777777" w:rsidR="003D6056" w:rsidRDefault="003D6056" w:rsidP="003D6056">
      <w:pPr>
        <w:pStyle w:val="BodyText"/>
        <w:spacing w:after="0"/>
        <w:jc w:val="both"/>
        <w:rPr>
          <w:rFonts w:ascii="StobiSerif Regular" w:eastAsia="DejaVu Sans" w:hAnsi="StobiSerif Regular" w:cs="DejaVu Sans"/>
          <w:lang w:val="en-US" w:eastAsia="zh-CN"/>
        </w:rPr>
      </w:pPr>
    </w:p>
    <w:p w14:paraId="7270BB97" w14:textId="77777777" w:rsidR="003D6056" w:rsidRDefault="003D6056" w:rsidP="003D6056">
      <w:pPr>
        <w:pStyle w:val="BodyText"/>
        <w:spacing w:after="0"/>
        <w:jc w:val="both"/>
        <w:rPr>
          <w:rFonts w:ascii="StobiSerif Regular" w:eastAsia="DejaVu Sans" w:hAnsi="StobiSerif Regular" w:cs="DejaVu Sans"/>
          <w:lang w:eastAsia="zh-CN"/>
        </w:rPr>
      </w:pPr>
      <w:proofErr w:type="spellStart"/>
      <w:r>
        <w:rPr>
          <w:rFonts w:ascii="StobiSerif Regular" w:eastAsia="DejaVu Sans" w:hAnsi="StobiSerif Regular" w:cs="DejaVu Sans"/>
          <w:lang w:val="en-US" w:eastAsia="zh-CN"/>
        </w:rPr>
        <w:t>Темелено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постигнатиот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успех</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во</w:t>
      </w:r>
      <w:proofErr w:type="spellEnd"/>
      <w:r>
        <w:rPr>
          <w:rFonts w:ascii="StobiSerif Regular" w:eastAsia="DejaVu Sans" w:hAnsi="StobiSerif Regular" w:cs="DejaVu Sans"/>
          <w:lang w:val="en-US" w:eastAsia="zh-CN"/>
        </w:rPr>
        <w:t xml:space="preserve"> 2018 </w:t>
      </w:r>
      <w:proofErr w:type="spellStart"/>
      <w:r>
        <w:rPr>
          <w:rFonts w:ascii="StobiSerif Regular" w:eastAsia="DejaVu Sans" w:hAnsi="StobiSerif Regular" w:cs="DejaVu Sans"/>
          <w:lang w:val="en-US" w:eastAsia="zh-CN"/>
        </w:rPr>
        <w:t>година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од</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проширување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оваа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иницијатива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рамките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Собранието</w:t>
      </w:r>
      <w:proofErr w:type="spellEnd"/>
      <w:r>
        <w:rPr>
          <w:rFonts w:ascii="StobiSerif Regular" w:eastAsia="DejaVu Sans" w:hAnsi="StobiSerif Regular" w:cs="DejaVu Sans"/>
          <w:lang w:val="en-US" w:eastAsia="zh-CN"/>
        </w:rPr>
        <w:t xml:space="preserve">, </w:t>
      </w:r>
      <w:proofErr w:type="spellStart"/>
      <w:proofErr w:type="gramStart"/>
      <w:r>
        <w:rPr>
          <w:rFonts w:ascii="StobiSerif Regular" w:eastAsia="DejaVu Sans" w:hAnsi="StobiSerif Regular" w:cs="DejaVu Sans"/>
          <w:lang w:val="en-US" w:eastAsia="zh-CN"/>
        </w:rPr>
        <w:t>во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петиот</w:t>
      </w:r>
      <w:proofErr w:type="spellEnd"/>
      <w:proofErr w:type="gram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циклус</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покрај</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залож</w:t>
      </w:r>
      <w:proofErr w:type="spellEnd"/>
      <w:r>
        <w:rPr>
          <w:rFonts w:ascii="StobiSerif Regular" w:eastAsia="DejaVu Sans" w:hAnsi="StobiSerif Regular" w:cs="DejaVu Sans"/>
          <w:lang w:eastAsia="zh-CN"/>
        </w:rPr>
        <w:t>б</w:t>
      </w:r>
      <w:proofErr w:type="spellStart"/>
      <w:r>
        <w:rPr>
          <w:rFonts w:ascii="StobiSerif Regular" w:eastAsia="DejaVu Sans" w:hAnsi="StobiSerif Regular" w:cs="DejaVu Sans"/>
          <w:lang w:val="en-US" w:eastAsia="zh-CN"/>
        </w:rPr>
        <w:t>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Отворен</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парламент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креираа</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заложби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Отворено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судство</w:t>
      </w:r>
      <w:proofErr w:type="spellEnd"/>
      <w:r>
        <w:rPr>
          <w:rFonts w:ascii="StobiSerif Regular" w:eastAsia="DejaVu Sans" w:hAnsi="StobiSerif Regular" w:cs="DejaVu Sans"/>
          <w:lang w:val="en-US" w:eastAsia="zh-CN"/>
        </w:rPr>
        <w:t xml:space="preserve">. </w:t>
      </w:r>
      <w:r>
        <w:rPr>
          <w:rFonts w:ascii="StobiSerif Regular" w:eastAsia="DejaVu Sans" w:hAnsi="StobiSerif Regular" w:cs="DejaVu Sans"/>
          <w:lang w:eastAsia="zh-CN"/>
        </w:rPr>
        <w:t>Оттука, в</w:t>
      </w:r>
      <w:r>
        <w:rPr>
          <w:rFonts w:ascii="StobiSerif Regular" w:eastAsia="DejaVu Sans" w:hAnsi="StobiSerif Regular" w:cs="DejaVu Sans"/>
          <w:lang w:val="en-US" w:eastAsia="zh-CN"/>
        </w:rPr>
        <w:t xml:space="preserve">о НАП 5 </w:t>
      </w:r>
      <w:proofErr w:type="spellStart"/>
      <w:r>
        <w:rPr>
          <w:rFonts w:ascii="StobiSerif Regular" w:eastAsia="DejaVu Sans" w:hAnsi="StobiSerif Regular" w:cs="DejaVu Sans"/>
          <w:lang w:val="en-US" w:eastAsia="zh-CN"/>
        </w:rPr>
        <w:t>се</w:t>
      </w:r>
      <w:proofErr w:type="spellEnd"/>
      <w:r>
        <w:rPr>
          <w:rFonts w:ascii="StobiSerif Regular" w:eastAsia="DejaVu Sans" w:hAnsi="StobiSerif Regular" w:cs="DejaVu Sans"/>
          <w:lang w:val="en-US" w:eastAsia="zh-CN"/>
        </w:rPr>
        <w:t xml:space="preserve"> </w:t>
      </w:r>
      <w:r>
        <w:rPr>
          <w:rFonts w:ascii="StobiSerif Regular" w:eastAsia="DejaVu Sans" w:hAnsi="StobiSerif Regular" w:cs="DejaVu Sans"/>
          <w:lang w:eastAsia="zh-CN"/>
        </w:rPr>
        <w:t>дефинирани заложби за Отворена влада, Отворен парламент и Отворено судство и тоа:</w:t>
      </w:r>
    </w:p>
    <w:p w14:paraId="69D98EEE" w14:textId="77777777" w:rsidR="003D6056" w:rsidRDefault="003D6056" w:rsidP="003D6056">
      <w:pPr>
        <w:pStyle w:val="BodyText"/>
        <w:spacing w:after="0"/>
        <w:jc w:val="both"/>
        <w:rPr>
          <w:rFonts w:ascii="StobiSerif Regular" w:eastAsia="DejaVu Sans" w:hAnsi="StobiSerif Regular" w:cs="DejaVu Sans"/>
          <w:lang w:eastAsia="zh-CN"/>
        </w:rPr>
      </w:pPr>
      <w:r>
        <w:rPr>
          <w:rFonts w:ascii="StobiSerif Regular" w:eastAsia="DejaVu Sans" w:hAnsi="StobiSerif Regular" w:cs="DejaVu Sans"/>
          <w:lang w:eastAsia="zh-CN"/>
        </w:rPr>
        <w:t xml:space="preserve">- Отворена влада - </w:t>
      </w:r>
      <w:proofErr w:type="spellStart"/>
      <w:r>
        <w:rPr>
          <w:rFonts w:ascii="StobiSerif Regular" w:eastAsia="DejaVu Sans" w:hAnsi="StobiSerif Regular" w:cs="DejaVu Sans"/>
          <w:lang w:val="en-US" w:eastAsia="zh-CN"/>
        </w:rPr>
        <w:t>дефинирани</w:t>
      </w:r>
      <w:proofErr w:type="spellEnd"/>
      <w:r>
        <w:rPr>
          <w:rFonts w:ascii="StobiSerif Regular" w:eastAsia="DejaVu Sans" w:hAnsi="StobiSerif Regular" w:cs="DejaVu Sans"/>
          <w:lang w:val="en-US" w:eastAsia="zh-CN"/>
        </w:rPr>
        <w:t xml:space="preserve"> 23 </w:t>
      </w:r>
      <w:proofErr w:type="spellStart"/>
      <w:r>
        <w:rPr>
          <w:rFonts w:ascii="StobiSerif Regular" w:eastAsia="DejaVu Sans" w:hAnsi="StobiSerif Regular" w:cs="DejaVu Sans"/>
          <w:lang w:val="en-US" w:eastAsia="zh-CN"/>
        </w:rPr>
        <w:t>заложби</w:t>
      </w:r>
      <w:proofErr w:type="spellEnd"/>
      <w:r>
        <w:rPr>
          <w:rFonts w:ascii="StobiSerif Regular" w:eastAsia="DejaVu Sans" w:hAnsi="StobiSerif Regular" w:cs="DejaVu Sans"/>
          <w:lang w:val="en-US" w:eastAsia="zh-CN"/>
        </w:rPr>
        <w:t xml:space="preserve">, 95 </w:t>
      </w:r>
      <w:proofErr w:type="spellStart"/>
      <w:r>
        <w:rPr>
          <w:rFonts w:ascii="StobiSerif Regular" w:eastAsia="DejaVu Sans" w:hAnsi="StobiSerif Regular" w:cs="DejaVu Sans"/>
          <w:lang w:val="en-US" w:eastAsia="zh-CN"/>
        </w:rPr>
        <w:t>достигнувања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во</w:t>
      </w:r>
      <w:proofErr w:type="spellEnd"/>
      <w:r>
        <w:rPr>
          <w:rFonts w:ascii="StobiSerif Regular" w:eastAsia="DejaVu Sans" w:hAnsi="StobiSerif Regular" w:cs="DejaVu Sans"/>
          <w:lang w:val="en-US" w:eastAsia="zh-CN"/>
        </w:rPr>
        <w:t xml:space="preserve"> 5 </w:t>
      </w:r>
      <w:proofErr w:type="spellStart"/>
      <w:r>
        <w:rPr>
          <w:rFonts w:ascii="StobiSerif Regular" w:eastAsia="DejaVu Sans" w:hAnsi="StobiSerif Regular" w:cs="DejaVu Sans"/>
          <w:lang w:val="en-US" w:eastAsia="zh-CN"/>
        </w:rPr>
        <w:t>приоритетни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области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Транспарентност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отчетност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проактивност</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инклузивност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Спречување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корупција</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промовирање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добро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владеење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Испорака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јавни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услуги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Пристап</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правда</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Животна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средина</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климатски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промени</w:t>
      </w:r>
      <w:proofErr w:type="spellEnd"/>
      <w:r>
        <w:rPr>
          <w:rFonts w:ascii="StobiSerif Regular" w:eastAsia="DejaVu Sans" w:hAnsi="StobiSerif Regular" w:cs="DejaVu Sans"/>
          <w:lang w:val="en-US" w:eastAsia="zh-CN"/>
        </w:rPr>
        <w:t>)</w:t>
      </w:r>
      <w:r>
        <w:rPr>
          <w:rFonts w:ascii="StobiSerif Regular" w:eastAsia="DejaVu Sans" w:hAnsi="StobiSerif Regular" w:cs="DejaVu Sans"/>
          <w:lang w:eastAsia="zh-CN"/>
        </w:rPr>
        <w:t>,</w:t>
      </w:r>
    </w:p>
    <w:p w14:paraId="5A4D430F" w14:textId="77777777" w:rsidR="003D6056" w:rsidRDefault="003D6056" w:rsidP="003D6056">
      <w:pPr>
        <w:pStyle w:val="BodyText"/>
        <w:jc w:val="both"/>
        <w:rPr>
          <w:rFonts w:ascii="StobiSerif Regular" w:eastAsia="DejaVu Sans" w:hAnsi="StobiSerif Regular" w:cs="DejaVu Sans"/>
          <w:lang w:eastAsia="zh-CN"/>
        </w:rPr>
      </w:pPr>
      <w:r>
        <w:rPr>
          <w:rFonts w:ascii="StobiSerif Regular" w:eastAsia="DejaVu Sans" w:hAnsi="StobiSerif Regular" w:cs="DejaVu Sans"/>
          <w:lang w:eastAsia="zh-CN"/>
        </w:rPr>
        <w:t>-Отворен парламент – дефинирани 11 заложби, 24 достигнувања во 3 приоритетни области (</w:t>
      </w:r>
      <w:r w:rsidRPr="00875097">
        <w:rPr>
          <w:rFonts w:ascii="StobiSerif Regular" w:eastAsia="DejaVu Sans" w:hAnsi="StobiSerif Regular" w:cs="DejaVu Sans"/>
          <w:lang w:eastAsia="zh-CN"/>
        </w:rPr>
        <w:t xml:space="preserve">Собранието за граѓаните со отворен одговор и отворено </w:t>
      </w:r>
      <w:proofErr w:type="spellStart"/>
      <w:r w:rsidRPr="00875097">
        <w:rPr>
          <w:rFonts w:ascii="StobiSerif Regular" w:eastAsia="DejaVu Sans" w:hAnsi="StobiSerif Regular" w:cs="DejaVu Sans"/>
          <w:lang w:eastAsia="zh-CN"/>
        </w:rPr>
        <w:t>опоравување</w:t>
      </w:r>
      <w:proofErr w:type="spellEnd"/>
      <w:r w:rsidRPr="00875097">
        <w:rPr>
          <w:rFonts w:ascii="StobiSerif Regular" w:eastAsia="DejaVu Sans" w:hAnsi="StobiSerif Regular" w:cs="DejaVu Sans"/>
          <w:lang w:eastAsia="zh-CN"/>
        </w:rPr>
        <w:t xml:space="preserve"> од КОВИД 19 пандемијата</w:t>
      </w:r>
      <w:r>
        <w:rPr>
          <w:rFonts w:ascii="StobiSerif Regular" w:eastAsia="DejaVu Sans" w:hAnsi="StobiSerif Regular" w:cs="DejaVu Sans"/>
          <w:lang w:eastAsia="zh-CN"/>
        </w:rPr>
        <w:t xml:space="preserve">, </w:t>
      </w:r>
      <w:r w:rsidRPr="00875097">
        <w:rPr>
          <w:rFonts w:ascii="StobiSerif Regular" w:eastAsia="DejaVu Sans" w:hAnsi="StobiSerif Regular" w:cs="DejaVu Sans"/>
          <w:lang w:eastAsia="zh-CN"/>
        </w:rPr>
        <w:t>Подобрена ИКТ инфраструктура</w:t>
      </w:r>
      <w:r>
        <w:rPr>
          <w:rFonts w:ascii="StobiSerif Regular" w:eastAsia="DejaVu Sans" w:hAnsi="StobiSerif Regular" w:cs="DejaVu Sans"/>
          <w:lang w:eastAsia="zh-CN"/>
        </w:rPr>
        <w:t xml:space="preserve"> и </w:t>
      </w:r>
      <w:r w:rsidRPr="00875097">
        <w:rPr>
          <w:rFonts w:ascii="StobiSerif Regular" w:eastAsia="DejaVu Sans" w:hAnsi="StobiSerif Regular" w:cs="DejaVu Sans"/>
          <w:lang w:eastAsia="zh-CN"/>
        </w:rPr>
        <w:t>Учество на граѓани/отворен парламент</w:t>
      </w:r>
      <w:r>
        <w:rPr>
          <w:rFonts w:ascii="StobiSerif Regular" w:eastAsia="DejaVu Sans" w:hAnsi="StobiSerif Regular" w:cs="DejaVu Sans"/>
          <w:lang w:eastAsia="zh-CN"/>
        </w:rPr>
        <w:t>).</w:t>
      </w:r>
    </w:p>
    <w:p w14:paraId="6112874A" w14:textId="77777777" w:rsidR="003D6056" w:rsidRPr="00AA0166" w:rsidRDefault="003D6056" w:rsidP="003D6056">
      <w:pPr>
        <w:pStyle w:val="BodyText"/>
        <w:jc w:val="both"/>
        <w:rPr>
          <w:rFonts w:ascii="StobiSerif Regular" w:eastAsia="DejaVu Sans" w:hAnsi="StobiSerif Regular" w:cs="DejaVu Sans"/>
          <w:lang w:eastAsia="zh-CN"/>
        </w:rPr>
      </w:pPr>
      <w:r>
        <w:rPr>
          <w:rFonts w:ascii="StobiSerif Regular" w:eastAsia="DejaVu Sans" w:hAnsi="StobiSerif Regular" w:cs="DejaVu Sans"/>
          <w:lang w:eastAsia="zh-CN"/>
        </w:rPr>
        <w:t>-Отворено судство - дефинирани 6 заложби, 23 достигнувања во 2 приоритетни области ( П</w:t>
      </w:r>
      <w:r w:rsidRPr="00875097">
        <w:rPr>
          <w:rFonts w:ascii="StobiSerif Regular" w:eastAsia="DejaVu Sans" w:hAnsi="StobiSerif Regular" w:cs="DejaVu Sans"/>
          <w:lang w:eastAsia="zh-CN"/>
        </w:rPr>
        <w:t>ристап до информации и податоци</w:t>
      </w:r>
      <w:r>
        <w:rPr>
          <w:rFonts w:ascii="StobiSerif Regular" w:eastAsia="DejaVu Sans" w:hAnsi="StobiSerif Regular" w:cs="DejaVu Sans"/>
          <w:lang w:eastAsia="zh-CN"/>
        </w:rPr>
        <w:t xml:space="preserve"> и </w:t>
      </w:r>
      <w:r w:rsidRPr="00875097">
        <w:rPr>
          <w:rFonts w:ascii="StobiSerif Regular" w:eastAsia="DejaVu Sans" w:hAnsi="StobiSerif Regular" w:cs="DejaVu Sans"/>
          <w:lang w:eastAsia="zh-CN"/>
        </w:rPr>
        <w:t>Перформанси на институциите</w:t>
      </w:r>
      <w:r>
        <w:rPr>
          <w:rFonts w:ascii="StobiSerif Regular" w:eastAsia="DejaVu Sans" w:hAnsi="StobiSerif Regular" w:cs="DejaVu Sans"/>
          <w:lang w:eastAsia="zh-CN"/>
        </w:rPr>
        <w:t>).</w:t>
      </w:r>
    </w:p>
    <w:p w14:paraId="1EDD10DB" w14:textId="77777777" w:rsidR="003D6056" w:rsidRDefault="003D6056" w:rsidP="003D6056">
      <w:pPr>
        <w:pStyle w:val="BodyText"/>
        <w:spacing w:after="0"/>
        <w:jc w:val="both"/>
        <w:rPr>
          <w:rFonts w:ascii="StobiSerif Regular" w:eastAsia="DejaVu Sans" w:hAnsi="StobiSerif Regular" w:cs="DejaVu Sans"/>
          <w:lang w:val="en-US" w:eastAsia="zh-CN"/>
        </w:rPr>
      </w:pPr>
      <w:r>
        <w:rPr>
          <w:rFonts w:ascii="StobiSerif Regular" w:eastAsia="DejaVu Sans" w:hAnsi="StobiSerif Regular" w:cs="DejaVu Sans"/>
          <w:lang w:eastAsia="zh-CN"/>
        </w:rPr>
        <w:t>Почнувајќи од 2016 година в</w:t>
      </w:r>
      <w:proofErr w:type="spellStart"/>
      <w:r>
        <w:rPr>
          <w:rFonts w:ascii="StobiSerif Regular" w:eastAsia="DejaVu Sans" w:hAnsi="StobiSerif Regular" w:cs="DejaVu Sans"/>
          <w:lang w:val="en-US" w:eastAsia="zh-CN"/>
        </w:rPr>
        <w:t>оведена</w:t>
      </w:r>
      <w:proofErr w:type="spellEnd"/>
      <w:r>
        <w:rPr>
          <w:rFonts w:ascii="StobiSerif Regular" w:eastAsia="DejaVu Sans" w:hAnsi="StobiSerif Regular" w:cs="DejaVu Sans"/>
          <w:lang w:val="en-US" w:eastAsia="zh-CN"/>
        </w:rPr>
        <w:t xml:space="preserve"> е </w:t>
      </w:r>
      <w:proofErr w:type="spellStart"/>
      <w:r>
        <w:rPr>
          <w:rFonts w:ascii="StobiSerif Regular" w:eastAsia="DejaVu Sans" w:hAnsi="StobiSerif Regular" w:cs="DejaVu Sans"/>
          <w:lang w:val="en-US" w:eastAsia="zh-CN"/>
        </w:rPr>
        <w:t>добра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практика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поврзување</w:t>
      </w:r>
      <w:proofErr w:type="spellEnd"/>
      <w:r>
        <w:rPr>
          <w:rFonts w:ascii="StobiSerif Regular" w:eastAsia="DejaVu Sans" w:hAnsi="StobiSerif Regular" w:cs="DejaVu Sans"/>
          <w:lang w:val="en-US" w:eastAsia="zh-CN"/>
        </w:rPr>
        <w:t xml:space="preserve"> </w:t>
      </w:r>
      <w:r>
        <w:rPr>
          <w:rFonts w:ascii="StobiSerif Regular" w:eastAsia="DejaVu Sans" w:hAnsi="StobiSerif Regular" w:cs="DejaVu Sans"/>
          <w:lang w:eastAsia="zh-CN"/>
        </w:rPr>
        <w:t xml:space="preserve">на </w:t>
      </w:r>
      <w:proofErr w:type="spellStart"/>
      <w:r>
        <w:rPr>
          <w:rFonts w:ascii="StobiSerif Regular" w:eastAsia="DejaVu Sans" w:hAnsi="StobiSerif Regular" w:cs="DejaVu Sans"/>
          <w:lang w:val="en-US" w:eastAsia="zh-CN"/>
        </w:rPr>
        <w:t>заложбите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од</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националните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акциски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планови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целите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утврдени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Агендата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одржлив</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развој</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до</w:t>
      </w:r>
      <w:proofErr w:type="spellEnd"/>
      <w:r>
        <w:rPr>
          <w:rFonts w:ascii="StobiSerif Regular" w:eastAsia="DejaVu Sans" w:hAnsi="StobiSerif Regular" w:cs="DejaVu Sans"/>
          <w:lang w:val="en-US" w:eastAsia="zh-CN"/>
        </w:rPr>
        <w:t xml:space="preserve"> 2030, </w:t>
      </w:r>
      <w:proofErr w:type="spellStart"/>
      <w:r>
        <w:rPr>
          <w:rFonts w:ascii="StobiSerif Regular" w:eastAsia="DejaVu Sans" w:hAnsi="StobiSerif Regular" w:cs="DejaVu Sans"/>
          <w:lang w:val="en-US" w:eastAsia="zh-CN"/>
        </w:rPr>
        <w:t>особено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целта</w:t>
      </w:r>
      <w:proofErr w:type="spellEnd"/>
      <w:r>
        <w:rPr>
          <w:rFonts w:ascii="StobiSerif Regular" w:eastAsia="DejaVu Sans" w:hAnsi="StobiSerif Regular" w:cs="DejaVu Sans"/>
          <w:lang w:val="en-US" w:eastAsia="zh-CN"/>
        </w:rPr>
        <w:t xml:space="preserve"> 16 ,,</w:t>
      </w:r>
      <w:proofErr w:type="spellStart"/>
      <w:r>
        <w:rPr>
          <w:rFonts w:ascii="StobiSerif Regular" w:eastAsia="DejaVu Sans" w:hAnsi="StobiSerif Regular" w:cs="DejaVu Sans"/>
          <w:lang w:val="en-US" w:eastAsia="zh-CN"/>
        </w:rPr>
        <w:t>Мир</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правда</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силни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институции</w:t>
      </w:r>
      <w:proofErr w:type="spellEnd"/>
      <w:r>
        <w:rPr>
          <w:rFonts w:ascii="StobiSerif Regular" w:eastAsia="DejaVu Sans" w:hAnsi="StobiSerif Regular" w:cs="DejaVu Sans"/>
          <w:lang w:eastAsia="zh-CN"/>
        </w:rPr>
        <w:t>“</w:t>
      </w:r>
      <w:r>
        <w:rPr>
          <w:rFonts w:ascii="StobiSerif Regular" w:eastAsia="DejaVu Sans" w:hAnsi="StobiSerif Regular" w:cs="DejaVu Sans"/>
          <w:lang w:val="en-US" w:eastAsia="zh-CN"/>
        </w:rPr>
        <w:t>, 3 ,,</w:t>
      </w:r>
      <w:proofErr w:type="spellStart"/>
      <w:r>
        <w:rPr>
          <w:rFonts w:ascii="StobiSerif Regular" w:eastAsia="DejaVu Sans" w:hAnsi="StobiSerif Regular" w:cs="DejaVu Sans"/>
          <w:lang w:val="en-US" w:eastAsia="zh-CN"/>
        </w:rPr>
        <w:t>Добро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здравје</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благосостојба</w:t>
      </w:r>
      <w:proofErr w:type="spellEnd"/>
      <w:r>
        <w:rPr>
          <w:rFonts w:ascii="StobiSerif Regular" w:eastAsia="DejaVu Sans" w:hAnsi="StobiSerif Regular" w:cs="DejaVu Sans"/>
          <w:lang w:val="en-US" w:eastAsia="zh-CN"/>
        </w:rPr>
        <w:t>“, 11 ,,</w:t>
      </w:r>
      <w:proofErr w:type="spellStart"/>
      <w:r>
        <w:rPr>
          <w:rFonts w:ascii="StobiSerif Regular" w:eastAsia="DejaVu Sans" w:hAnsi="StobiSerif Regular" w:cs="DejaVu Sans"/>
          <w:lang w:val="en-US" w:eastAsia="zh-CN"/>
        </w:rPr>
        <w:t>Градовите</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човечките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населби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бидат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инклузивни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безбедни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отпорни</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одржливи</w:t>
      </w:r>
      <w:proofErr w:type="spellEnd"/>
      <w:r>
        <w:rPr>
          <w:rFonts w:ascii="StobiSerif Regular" w:eastAsia="DejaVu Sans" w:hAnsi="StobiSerif Regular" w:cs="DejaVu Sans"/>
          <w:lang w:val="en-US" w:eastAsia="zh-CN"/>
        </w:rPr>
        <w:t xml:space="preserve">“,  13 ,, </w:t>
      </w:r>
      <w:proofErr w:type="spellStart"/>
      <w:r>
        <w:rPr>
          <w:rFonts w:ascii="StobiSerif Regular" w:eastAsia="DejaVu Sans" w:hAnsi="StobiSerif Regular" w:cs="DejaVu Sans"/>
          <w:lang w:val="en-US" w:eastAsia="zh-CN"/>
        </w:rPr>
        <w:t>Климатска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акција</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цел</w:t>
      </w:r>
      <w:proofErr w:type="spellEnd"/>
      <w:r>
        <w:rPr>
          <w:rFonts w:ascii="StobiSerif Regular" w:eastAsia="DejaVu Sans" w:hAnsi="StobiSerif Regular" w:cs="DejaVu Sans"/>
          <w:lang w:val="en-US" w:eastAsia="zh-CN"/>
        </w:rPr>
        <w:t xml:space="preserve"> 17 ,,</w:t>
      </w:r>
      <w:proofErr w:type="spellStart"/>
      <w:r>
        <w:rPr>
          <w:rFonts w:ascii="StobiSerif Regular" w:eastAsia="DejaVu Sans" w:hAnsi="StobiSerif Regular" w:cs="DejaVu Sans"/>
          <w:lang w:val="en-US" w:eastAsia="zh-CN"/>
        </w:rPr>
        <w:t>Партнерство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целите</w:t>
      </w:r>
      <w:proofErr w:type="spellEnd"/>
      <w:r>
        <w:rPr>
          <w:rFonts w:ascii="StobiSerif Regular" w:eastAsia="DejaVu Sans" w:hAnsi="StobiSerif Regular" w:cs="DejaVu Sans"/>
          <w:lang w:val="en-US" w:eastAsia="zh-CN"/>
        </w:rPr>
        <w:t>“.</w:t>
      </w:r>
    </w:p>
    <w:p w14:paraId="21DC5569" w14:textId="77777777" w:rsidR="003D6056" w:rsidRDefault="003D6056" w:rsidP="003D6056">
      <w:pPr>
        <w:pStyle w:val="BodyText"/>
        <w:spacing w:after="0"/>
        <w:jc w:val="both"/>
        <w:rPr>
          <w:rFonts w:ascii="StobiSerif Regular" w:eastAsia="DejaVu Sans" w:hAnsi="StobiSerif Regular" w:cs="DejaVu Sans"/>
          <w:lang w:val="en-US" w:eastAsia="zh-CN"/>
        </w:rPr>
      </w:pPr>
    </w:p>
    <w:p w14:paraId="1CC56B4C" w14:textId="77777777" w:rsidR="003D6056" w:rsidRDefault="003D6056" w:rsidP="003D6056">
      <w:pPr>
        <w:pStyle w:val="BodyText"/>
        <w:spacing w:after="0"/>
        <w:jc w:val="both"/>
        <w:rPr>
          <w:rFonts w:ascii="StobiSerif Regular" w:eastAsia="DejaVu Sans" w:hAnsi="StobiSerif Regular" w:cs="DejaVu Sans"/>
          <w:lang w:val="en-US" w:eastAsia="zh-CN"/>
        </w:rPr>
      </w:pPr>
      <w:proofErr w:type="spellStart"/>
      <w:r>
        <w:rPr>
          <w:rFonts w:ascii="StobiSerif Regular" w:eastAsia="DejaVu Sans" w:hAnsi="StobiSerif Regular" w:cs="DejaVu Sans"/>
          <w:lang w:val="en-US" w:eastAsia="zh-CN"/>
        </w:rPr>
        <w:t>Новиот</w:t>
      </w:r>
      <w:proofErr w:type="spellEnd"/>
      <w:r>
        <w:rPr>
          <w:rFonts w:ascii="StobiSerif Regular" w:eastAsia="DejaVu Sans" w:hAnsi="StobiSerif Regular" w:cs="DejaVu Sans"/>
          <w:lang w:val="en-US" w:eastAsia="zh-CN"/>
        </w:rPr>
        <w:t xml:space="preserve"> НАП 5 </w:t>
      </w:r>
      <w:proofErr w:type="spellStart"/>
      <w:r>
        <w:rPr>
          <w:rFonts w:ascii="StobiSerif Regular" w:eastAsia="DejaVu Sans" w:hAnsi="StobiSerif Regular" w:cs="DejaVu Sans"/>
          <w:lang w:val="en-US" w:eastAsia="zh-CN"/>
        </w:rPr>
        <w:t>jа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потврдува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потребата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од</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продлабочување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претходните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обврски</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подобрување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нивниот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квалитет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Тој</w:t>
      </w:r>
      <w:proofErr w:type="spellEnd"/>
      <w:r>
        <w:rPr>
          <w:rFonts w:ascii="StobiSerif Regular" w:eastAsia="DejaVu Sans" w:hAnsi="StobiSerif Regular" w:cs="DejaVu Sans"/>
          <w:lang w:val="en-US" w:eastAsia="zh-CN"/>
        </w:rPr>
        <w:t xml:space="preserve"> е </w:t>
      </w:r>
      <w:proofErr w:type="spellStart"/>
      <w:r>
        <w:rPr>
          <w:rFonts w:ascii="StobiSerif Regular" w:eastAsia="DejaVu Sans" w:hAnsi="StobiSerif Regular" w:cs="DejaVu Sans"/>
          <w:lang w:val="en-US" w:eastAsia="zh-CN"/>
        </w:rPr>
        <w:t>насочен</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кон</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заложби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пристап</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правда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правно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зајакнување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граѓаните</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унапредување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правната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заштита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особено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младите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маргинализирани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групи</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жени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унапредување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испораката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јавни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услуги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продолжување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активностите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поврзани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јавно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објавување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информација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вистинските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lastRenderedPageBreak/>
        <w:t>сопственици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отворање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нови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податоци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како</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активности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спречување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корупцијата</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заштита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животната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средина</w:t>
      </w:r>
      <w:proofErr w:type="spellEnd"/>
      <w:r>
        <w:rPr>
          <w:rFonts w:ascii="StobiSerif Regular" w:eastAsia="DejaVu Sans" w:hAnsi="StobiSerif Regular" w:cs="DejaVu Sans"/>
          <w:lang w:val="en-US" w:eastAsia="zh-CN"/>
        </w:rPr>
        <w:t xml:space="preserve"> и </w:t>
      </w:r>
      <w:proofErr w:type="spellStart"/>
      <w:r>
        <w:rPr>
          <w:rFonts w:ascii="StobiSerif Regular" w:eastAsia="DejaVu Sans" w:hAnsi="StobiSerif Regular" w:cs="DejaVu Sans"/>
          <w:lang w:val="en-US" w:eastAsia="zh-CN"/>
        </w:rPr>
        <w:t>аерозагадувањето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очекува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дека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двегодишен</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период</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реализација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заложбите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утврдени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овој</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план</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ќе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се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обезбеди</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вистинско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препознавање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на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резултатите</w:t>
      </w:r>
      <w:proofErr w:type="spellEnd"/>
      <w:r>
        <w:rPr>
          <w:rFonts w:ascii="StobiSerif Regular" w:eastAsia="DejaVu Sans" w:hAnsi="StobiSerif Regular" w:cs="DejaVu Sans"/>
          <w:lang w:val="en-US" w:eastAsia="zh-CN"/>
        </w:rPr>
        <w:t xml:space="preserve"> а </w:t>
      </w:r>
      <w:proofErr w:type="spellStart"/>
      <w:r>
        <w:rPr>
          <w:rFonts w:ascii="StobiSerif Regular" w:eastAsia="DejaVu Sans" w:hAnsi="StobiSerif Regular" w:cs="DejaVu Sans"/>
          <w:lang w:val="en-US" w:eastAsia="zh-CN"/>
        </w:rPr>
        <w:t>граѓаните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ќе</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бидат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во</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можност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да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ја</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потврдат</w:t>
      </w:r>
      <w:proofErr w:type="spellEnd"/>
      <w:r>
        <w:rPr>
          <w:rFonts w:ascii="StobiSerif Regular" w:eastAsia="DejaVu Sans" w:hAnsi="StobiSerif Regular" w:cs="DejaVu Sans"/>
          <w:lang w:val="en-US" w:eastAsia="zh-CN"/>
        </w:rPr>
        <w:t xml:space="preserve"> </w:t>
      </w:r>
      <w:proofErr w:type="spellStart"/>
      <w:r>
        <w:rPr>
          <w:rFonts w:ascii="StobiSerif Regular" w:eastAsia="DejaVu Sans" w:hAnsi="StobiSerif Regular" w:cs="DejaVu Sans"/>
          <w:lang w:val="en-US" w:eastAsia="zh-CN"/>
        </w:rPr>
        <w:t>промената</w:t>
      </w:r>
      <w:proofErr w:type="spellEnd"/>
      <w:r>
        <w:rPr>
          <w:rFonts w:ascii="StobiSerif Regular" w:eastAsia="DejaVu Sans" w:hAnsi="StobiSerif Regular" w:cs="DejaVu Sans"/>
          <w:lang w:val="en-US" w:eastAsia="zh-CN"/>
        </w:rPr>
        <w:t>.</w:t>
      </w:r>
    </w:p>
    <w:p w14:paraId="5CB20764" w14:textId="77777777" w:rsidR="003D6056" w:rsidRDefault="003D6056" w:rsidP="003D6056">
      <w:pPr>
        <w:pStyle w:val="BodyText"/>
        <w:spacing w:after="0"/>
        <w:jc w:val="both"/>
      </w:pPr>
    </w:p>
    <w:p w14:paraId="34D27DCA" w14:textId="77777777" w:rsidR="003D6056" w:rsidRPr="00801B9A" w:rsidRDefault="003D6056" w:rsidP="00A52A9A">
      <w:pPr>
        <w:pStyle w:val="BodyText"/>
        <w:numPr>
          <w:ilvl w:val="0"/>
          <w:numId w:val="1"/>
        </w:numPr>
        <w:spacing w:after="0"/>
        <w:jc w:val="both"/>
        <w:rPr>
          <w:rFonts w:ascii="StobiSerif Regular" w:hAnsi="StobiSerif Regular"/>
          <w:b/>
          <w:bCs/>
        </w:rPr>
      </w:pPr>
      <w:r w:rsidRPr="00801B9A">
        <w:rPr>
          <w:rFonts w:ascii="StobiSerif Regular" w:hAnsi="StobiSerif Regular"/>
          <w:b/>
          <w:bCs/>
        </w:rPr>
        <w:t>Ко-креирање и спроведување на НАП</w:t>
      </w:r>
    </w:p>
    <w:p w14:paraId="0A308EE5" w14:textId="77777777" w:rsidR="003D6056" w:rsidRPr="00BD2D02" w:rsidRDefault="003D6056" w:rsidP="003D6056">
      <w:pPr>
        <w:pStyle w:val="BodyText"/>
        <w:spacing w:after="0"/>
        <w:ind w:left="720"/>
        <w:jc w:val="both"/>
        <w:rPr>
          <w:highlight w:val="cyan"/>
        </w:rPr>
      </w:pPr>
    </w:p>
    <w:p w14:paraId="03E698DF" w14:textId="77777777" w:rsidR="003D6056" w:rsidRDefault="003D6056" w:rsidP="003D6056">
      <w:pPr>
        <w:pStyle w:val="BodyText"/>
        <w:spacing w:after="0"/>
        <w:jc w:val="both"/>
        <w:rPr>
          <w:rFonts w:ascii="StobiSerif Regular" w:eastAsia="DejaVu Sans" w:hAnsi="StobiSerif Regular" w:cs="DejaVu Sans"/>
          <w:lang w:val="en-US" w:eastAsia="zh-CN"/>
        </w:rPr>
      </w:pPr>
      <w:r>
        <w:rPr>
          <w:rFonts w:ascii="StobiSerif Regular" w:eastAsia="DejaVu Sans" w:hAnsi="StobiSerif Regular" w:cs="DejaVu Sans"/>
          <w:lang w:eastAsia="zh-CN"/>
        </w:rPr>
        <w:t>Развојот и следењето на спроведувањето на НАП5</w:t>
      </w:r>
      <w:r w:rsidRPr="00AA0166">
        <w:rPr>
          <w:rFonts w:ascii="StobiSerif Regular" w:eastAsia="DejaVu Sans" w:hAnsi="StobiSerif Regular" w:cs="DejaVu Sans"/>
          <w:lang w:val="en-US" w:eastAsia="zh-CN"/>
        </w:rPr>
        <w:t xml:space="preserve"> </w:t>
      </w:r>
      <w:r>
        <w:rPr>
          <w:rFonts w:ascii="StobiSerif Regular" w:eastAsia="DejaVu Sans" w:hAnsi="StobiSerif Regular" w:cs="DejaVu Sans"/>
          <w:lang w:eastAsia="zh-CN"/>
        </w:rPr>
        <w:t>е</w:t>
      </w:r>
      <w:r w:rsidRPr="00AA0166">
        <w:rPr>
          <w:rFonts w:ascii="StobiSerif Regular" w:eastAsia="DejaVu Sans" w:hAnsi="StobiSerif Regular" w:cs="DejaVu Sans"/>
          <w:lang w:val="en-US" w:eastAsia="zh-CN"/>
        </w:rPr>
        <w:t xml:space="preserve"> </w:t>
      </w:r>
      <w:r>
        <w:rPr>
          <w:rFonts w:ascii="StobiSerif Regular" w:eastAsia="DejaVu Sans" w:hAnsi="StobiSerif Regular" w:cs="DejaVu Sans"/>
          <w:lang w:eastAsia="zh-CN"/>
        </w:rPr>
        <w:t xml:space="preserve">координирано од страна на </w:t>
      </w:r>
      <w:r>
        <w:rPr>
          <w:rFonts w:ascii="StobiSerif Regular" w:hAnsi="StobiSerif Regular"/>
        </w:rPr>
        <w:t xml:space="preserve">Министерството за информатичко општество и администрација а </w:t>
      </w:r>
      <w:proofErr w:type="spellStart"/>
      <w:r w:rsidRPr="00AA0166">
        <w:rPr>
          <w:rFonts w:ascii="StobiSerif Regular" w:eastAsia="DejaVu Sans" w:hAnsi="StobiSerif Regular" w:cs="DejaVu Sans"/>
          <w:lang w:val="en-US" w:eastAsia="zh-CN"/>
        </w:rPr>
        <w:t>поддржан</w:t>
      </w:r>
      <w:proofErr w:type="spellEnd"/>
      <w:r>
        <w:rPr>
          <w:rFonts w:ascii="StobiSerif Regular" w:eastAsia="DejaVu Sans" w:hAnsi="StobiSerif Regular" w:cs="DejaVu Sans"/>
          <w:lang w:eastAsia="zh-CN"/>
        </w:rPr>
        <w:t>о</w:t>
      </w:r>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од</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Советот</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за</w:t>
      </w:r>
      <w:proofErr w:type="spellEnd"/>
      <w:r w:rsidRPr="00AA0166">
        <w:rPr>
          <w:rFonts w:ascii="StobiSerif Regular" w:eastAsia="DejaVu Sans" w:hAnsi="StobiSerif Regular" w:cs="DejaVu Sans"/>
          <w:lang w:val="en-US" w:eastAsia="zh-CN"/>
        </w:rPr>
        <w:t xml:space="preserve"> ОВП и </w:t>
      </w:r>
      <w:proofErr w:type="spellStart"/>
      <w:r w:rsidRPr="00AA0166">
        <w:rPr>
          <w:rFonts w:ascii="StobiSerif Regular" w:eastAsia="DejaVu Sans" w:hAnsi="StobiSerif Regular" w:cs="DejaVu Sans"/>
          <w:lang w:val="en-US" w:eastAsia="zh-CN"/>
        </w:rPr>
        <w:t>Работната</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група</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за</w:t>
      </w:r>
      <w:proofErr w:type="spellEnd"/>
      <w:r w:rsidRPr="00AA0166">
        <w:rPr>
          <w:rFonts w:ascii="StobiSerif Regular" w:eastAsia="DejaVu Sans" w:hAnsi="StobiSerif Regular" w:cs="DejaVu Sans"/>
          <w:lang w:val="en-US" w:eastAsia="zh-CN"/>
        </w:rPr>
        <w:t xml:space="preserve"> ОВП </w:t>
      </w:r>
      <w:proofErr w:type="spellStart"/>
      <w:r w:rsidRPr="00AA0166">
        <w:rPr>
          <w:rFonts w:ascii="StobiSerif Regular" w:eastAsia="DejaVu Sans" w:hAnsi="StobiSerif Regular" w:cs="DejaVu Sans"/>
          <w:lang w:val="en-US" w:eastAsia="zh-CN"/>
        </w:rPr>
        <w:t>кои</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овозможи</w:t>
      </w:r>
      <w:proofErr w:type="spellEnd"/>
      <w:r>
        <w:rPr>
          <w:rFonts w:ascii="StobiSerif Regular" w:eastAsia="DejaVu Sans" w:hAnsi="StobiSerif Regular" w:cs="DejaVu Sans"/>
          <w:lang w:eastAsia="zh-CN"/>
        </w:rPr>
        <w:t>ја</w:t>
      </w:r>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на</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структуриран</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начин</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да</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се</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максимизира</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учеството</w:t>
      </w:r>
      <w:proofErr w:type="spellEnd"/>
      <w:r w:rsidRPr="00AA0166">
        <w:rPr>
          <w:rFonts w:ascii="StobiSerif Regular" w:eastAsia="DejaVu Sans" w:hAnsi="StobiSerif Regular" w:cs="DejaVu Sans"/>
          <w:lang w:val="en-US" w:eastAsia="zh-CN"/>
        </w:rPr>
        <w:t xml:space="preserve"> и </w:t>
      </w:r>
      <w:proofErr w:type="spellStart"/>
      <w:r w:rsidRPr="00AA0166">
        <w:rPr>
          <w:rFonts w:ascii="StobiSerif Regular" w:eastAsia="DejaVu Sans" w:hAnsi="StobiSerif Regular" w:cs="DejaVu Sans"/>
          <w:lang w:val="en-US" w:eastAsia="zh-CN"/>
        </w:rPr>
        <w:t>придонесот</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како</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на</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претставниците</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од</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јавниот</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така</w:t>
      </w:r>
      <w:proofErr w:type="spellEnd"/>
      <w:r w:rsidRPr="00AA0166">
        <w:rPr>
          <w:rFonts w:ascii="StobiSerif Regular" w:eastAsia="DejaVu Sans" w:hAnsi="StobiSerif Regular" w:cs="DejaVu Sans"/>
          <w:lang w:val="en-US" w:eastAsia="zh-CN"/>
        </w:rPr>
        <w:t xml:space="preserve"> и </w:t>
      </w:r>
      <w:proofErr w:type="spellStart"/>
      <w:r w:rsidRPr="00AA0166">
        <w:rPr>
          <w:rFonts w:ascii="StobiSerif Regular" w:eastAsia="DejaVu Sans" w:hAnsi="StobiSerif Regular" w:cs="DejaVu Sans"/>
          <w:lang w:val="en-US" w:eastAsia="zh-CN"/>
        </w:rPr>
        <w:t>на</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невладиниот</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сектор</w:t>
      </w:r>
      <w:proofErr w:type="spellEnd"/>
      <w:r w:rsidRPr="00AA0166">
        <w:rPr>
          <w:rFonts w:ascii="StobiSerif Regular" w:eastAsia="DejaVu Sans" w:hAnsi="StobiSerif Regular" w:cs="DejaVu Sans"/>
          <w:lang w:val="en-US" w:eastAsia="zh-CN"/>
        </w:rPr>
        <w:t xml:space="preserve">, и </w:t>
      </w:r>
      <w:proofErr w:type="spellStart"/>
      <w:r w:rsidRPr="00AA0166">
        <w:rPr>
          <w:rFonts w:ascii="StobiSerif Regular" w:eastAsia="DejaVu Sans" w:hAnsi="StobiSerif Regular" w:cs="DejaVu Sans"/>
          <w:lang w:val="en-US" w:eastAsia="zh-CN"/>
        </w:rPr>
        <w:t>тоа</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преку</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воспоставената</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Мрежа</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на</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граѓански</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организации</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за</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отворено</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владино</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партнерство</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во</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натамошниот</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текст</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Мрежата</w:t>
      </w:r>
      <w:proofErr w:type="spellEnd"/>
      <w:r w:rsidRPr="00AA0166">
        <w:rPr>
          <w:rFonts w:ascii="StobiSerif Regular" w:eastAsia="DejaVu Sans" w:hAnsi="StobiSerif Regular" w:cs="DejaVu Sans"/>
          <w:lang w:val="en-US" w:eastAsia="zh-CN"/>
        </w:rPr>
        <w:t xml:space="preserve"> </w:t>
      </w:r>
      <w:proofErr w:type="spellStart"/>
      <w:r w:rsidRPr="00AA0166">
        <w:rPr>
          <w:rFonts w:ascii="StobiSerif Regular" w:eastAsia="DejaVu Sans" w:hAnsi="StobiSerif Regular" w:cs="DejaVu Sans"/>
          <w:lang w:val="en-US" w:eastAsia="zh-CN"/>
        </w:rPr>
        <w:t>за</w:t>
      </w:r>
      <w:proofErr w:type="spellEnd"/>
      <w:r w:rsidRPr="00AA0166">
        <w:rPr>
          <w:rFonts w:ascii="StobiSerif Regular" w:eastAsia="DejaVu Sans" w:hAnsi="StobiSerif Regular" w:cs="DejaVu Sans"/>
          <w:lang w:val="en-US" w:eastAsia="zh-CN"/>
        </w:rPr>
        <w:t xml:space="preserve"> ОВП). </w:t>
      </w:r>
    </w:p>
    <w:p w14:paraId="408366E6" w14:textId="77777777" w:rsidR="003D6056" w:rsidRDefault="003D6056" w:rsidP="003D6056">
      <w:pPr>
        <w:pStyle w:val="BodyText"/>
        <w:spacing w:after="0"/>
        <w:jc w:val="both"/>
        <w:rPr>
          <w:rFonts w:ascii="StobiSerif Regular" w:eastAsia="DejaVu Sans" w:hAnsi="StobiSerif Regular" w:cs="DejaVu Sans"/>
          <w:lang w:val="en-US" w:eastAsia="zh-CN"/>
        </w:rPr>
      </w:pPr>
    </w:p>
    <w:p w14:paraId="0C0F4EC3" w14:textId="77777777" w:rsidR="003D6056" w:rsidRPr="00AA0166" w:rsidRDefault="003D6056" w:rsidP="003D6056">
      <w:pPr>
        <w:pStyle w:val="BodyText"/>
        <w:spacing w:after="0"/>
        <w:jc w:val="both"/>
        <w:rPr>
          <w:rFonts w:ascii="StobiSerif Regular" w:hAnsi="StobiSerif Regular"/>
        </w:rPr>
      </w:pPr>
      <w:r w:rsidRPr="00AA0166">
        <w:rPr>
          <w:rFonts w:ascii="StobiSerif Regular" w:hAnsi="StobiSerif Regular"/>
        </w:rPr>
        <w:t>Воспоставен е портал за Партнерството за отворена власт (www.ovp.gov.mk) кој преставува централна точка за консултација, мониторинг, вклучување, вмрежување и известување на сите засегнати и заинтересирани страни во процесот. Порталот служи како платформа за интеракција и размена на информации во четири сегменти од овој процес: консултации за подготовка на Националниот акциски план, следење на спроведувањето на НАП, како и за следење на работата на Советот за ОВП и на Мрежата за ОВП.</w:t>
      </w:r>
    </w:p>
    <w:p w14:paraId="424D5413" w14:textId="77777777" w:rsidR="003D6056" w:rsidRDefault="003D6056" w:rsidP="003D6056">
      <w:pPr>
        <w:spacing w:before="120" w:after="60"/>
        <w:rPr>
          <w:rFonts w:ascii="StobiSerif Regular" w:hAnsi="StobiSerif Regular" w:cs="Calibri"/>
        </w:rPr>
      </w:pPr>
    </w:p>
    <w:p w14:paraId="2B9F3073" w14:textId="77777777" w:rsidR="003D6056" w:rsidRPr="00801B9A" w:rsidRDefault="003D6056" w:rsidP="003D6056">
      <w:pPr>
        <w:spacing w:before="120" w:after="60"/>
        <w:ind w:firstLine="709"/>
        <w:rPr>
          <w:rFonts w:ascii="StobiSerif Regular" w:hAnsi="StobiSerif Regular" w:cs="Calibri"/>
          <w:b/>
          <w:bCs/>
        </w:rPr>
      </w:pPr>
      <w:r w:rsidRPr="00801B9A">
        <w:rPr>
          <w:rFonts w:ascii="StobiSerif Regular" w:hAnsi="StobiSerif Regular" w:cs="Calibri"/>
          <w:b/>
          <w:bCs/>
        </w:rPr>
        <w:t>2.1 Развој на НАП5</w:t>
      </w:r>
    </w:p>
    <w:p w14:paraId="15127390" w14:textId="77777777" w:rsidR="003D6056" w:rsidRDefault="003D6056" w:rsidP="003D6056">
      <w:pPr>
        <w:spacing w:before="120" w:after="60"/>
        <w:rPr>
          <w:rFonts w:ascii="StobiSerif Regular" w:hAnsi="StobiSerif Regular" w:cs="Calibri"/>
        </w:rPr>
      </w:pPr>
      <w:r>
        <w:rPr>
          <w:rFonts w:ascii="StobiSerif Regular" w:hAnsi="StobiSerif Regular"/>
        </w:rPr>
        <w:t xml:space="preserve">Министерството за информатичко општество и администрација, во соработка со Советот за ОВП и Мрежата за ОВП, а со </w:t>
      </w:r>
      <w:r>
        <w:rPr>
          <w:rFonts w:ascii="StobiSerif Regular" w:hAnsi="StobiSerif Regular" w:cs="Calibri"/>
        </w:rPr>
        <w:t xml:space="preserve">поддршка од Секретаријатот за Партнерство за отворена власт и Фондацијата Отворено општество - Македонија, заедно со две партнерски организации Центар за граѓански комуникации и Здружение за еманципација, солидарност и еднаквост на жените, обезбеди инклузивен развој на НАП 5. </w:t>
      </w:r>
    </w:p>
    <w:p w14:paraId="7FE80F3C" w14:textId="77777777" w:rsidR="003D6056" w:rsidRDefault="003D6056" w:rsidP="003D6056">
      <w:pPr>
        <w:spacing w:before="120" w:after="60"/>
        <w:rPr>
          <w:rFonts w:ascii="StobiSerif Regular" w:hAnsi="StobiSerif Regular" w:cs="Calibri"/>
        </w:rPr>
      </w:pPr>
      <w:r>
        <w:rPr>
          <w:rFonts w:ascii="StobiSerif Regular" w:hAnsi="StobiSerif Regular" w:cs="Calibri"/>
        </w:rPr>
        <w:t xml:space="preserve">Со цел да се обезбеди систематизиран начин на планирање и спроведување на процесот на консултација, кој ќе осигура навремен, непречен, инклузивен и транспарентен процес на ко-креирање на новиот </w:t>
      </w:r>
      <w:r>
        <w:rPr>
          <w:rFonts w:ascii="StobiSerif Regular" w:hAnsi="StobiSerif Regular" w:cs="Calibri"/>
        </w:rPr>
        <w:lastRenderedPageBreak/>
        <w:t xml:space="preserve">НАП, во 2020 година беше утврден начинот на спроведување на процесот на ко-креирање на НАП 5, како и Постапка за спроведување консултации со засегнати страни за креирање на нови приоритети и заложби во рамките на процесот ОВП со  временска рамка, Јавен повик за пријавување на учество во процесот на ко-креирање на НАП 5 и Насоки за спроведување на прашалник за оценка на имплементацијата на мерките од НАП за ОВП 2018-2020 и потребата од нивно вклучување во новиот НАП 5.  Исто така беа подготвени и материјали кои произлегуваат од постапката за спроведување консултации: План за промовирање на јавниот повик, Едукативен материјал и Критериуми за оценување на релевантноста и поврзаноста со начелата на ОВП. Сите </w:t>
      </w:r>
      <w:hyperlink r:id="rId11" w:history="1">
        <w:r>
          <w:rPr>
            <w:rStyle w:val="Hyperlink"/>
            <w:rFonts w:ascii="StobiSerif Regular" w:hAnsi="StobiSerif Regular" w:cs="Calibri"/>
          </w:rPr>
          <w:t>документи</w:t>
        </w:r>
      </w:hyperlink>
      <w:r>
        <w:rPr>
          <w:rFonts w:ascii="StobiSerif Regular" w:hAnsi="StobiSerif Regular" w:cs="Calibri"/>
        </w:rPr>
        <w:t xml:space="preserve"> се достапни на порталот за ПОВ. </w:t>
      </w:r>
    </w:p>
    <w:p w14:paraId="049D6C48" w14:textId="77777777" w:rsidR="003D6056" w:rsidRDefault="003D6056" w:rsidP="003D6056">
      <w:pPr>
        <w:spacing w:before="120" w:after="60"/>
        <w:rPr>
          <w:rFonts w:ascii="StobiSerif Regular" w:hAnsi="StobiSerif Regular" w:cs="Calibri"/>
        </w:rPr>
      </w:pPr>
      <w:proofErr w:type="spellStart"/>
      <w:r>
        <w:rPr>
          <w:rFonts w:ascii="StobiSerif Regular" w:hAnsi="StobiSerif Regular" w:cs="Calibri"/>
        </w:rPr>
        <w:t>Темелено</w:t>
      </w:r>
      <w:proofErr w:type="spellEnd"/>
      <w:r>
        <w:rPr>
          <w:rFonts w:ascii="StobiSerif Regular" w:hAnsi="StobiSerif Regular" w:cs="Calibri"/>
        </w:rPr>
        <w:t xml:space="preserve"> на предвидлива и соодветно уредена постапка на процесот на ко-креирање во септември 2020 година во еден динамичен и инклузивен амбиент,  отпочна процесот на подготовка на петтиот </w:t>
      </w:r>
      <w:r>
        <w:rPr>
          <w:rFonts w:ascii="StobiSerif Regular" w:hAnsi="StobiSerif Regular" w:cs="Calibri"/>
          <w:bCs/>
        </w:rPr>
        <w:t>Национален акциски план за Партнерство за отворена власт за периодот 2021-2023 година</w:t>
      </w:r>
      <w:r>
        <w:rPr>
          <w:rFonts w:ascii="StobiSerif Regular" w:hAnsi="StobiSerif Regular" w:cs="Calibri"/>
        </w:rPr>
        <w:t>.</w:t>
      </w:r>
    </w:p>
    <w:p w14:paraId="264FC6D2" w14:textId="77777777" w:rsidR="003D6056" w:rsidRDefault="003D6056" w:rsidP="003D6056">
      <w:pPr>
        <w:spacing w:before="120" w:after="60"/>
        <w:rPr>
          <w:rFonts w:ascii="StobiSerif Regular" w:hAnsi="StobiSerif Regular" w:cs="Calibri"/>
        </w:rPr>
      </w:pPr>
    </w:p>
    <w:p w14:paraId="5D8B36C3" w14:textId="77777777" w:rsidR="003D6056" w:rsidRDefault="003D6056" w:rsidP="003D6056">
      <w:pPr>
        <w:tabs>
          <w:tab w:val="left" w:pos="8931"/>
        </w:tabs>
        <w:rPr>
          <w:rFonts w:ascii="StobiSerif Regular" w:hAnsi="StobiSerif Regular" w:cs="Calibri"/>
        </w:rPr>
      </w:pPr>
      <w:r>
        <w:rPr>
          <w:rFonts w:ascii="StobiSerif Regular" w:hAnsi="StobiSerif Regular" w:cs="Calibri"/>
        </w:rPr>
        <w:t>Врз основа на резултатите добиени од јавниот повик за пријавување учество во процесот на ко-креирање на Акциски план за Отворено владино партнерство 2021-2023 година и изразување на интерес за вклучување во работни средби за една или повеќе приоритетни области за учество</w:t>
      </w:r>
      <w:r>
        <w:rPr>
          <w:rStyle w:val="FootnoteReference"/>
          <w:rFonts w:ascii="StobiSerif Regular" w:hAnsi="StobiSerif Regular" w:cs="Calibri"/>
        </w:rPr>
        <w:footnoteReference w:id="1"/>
      </w:r>
      <w:r>
        <w:rPr>
          <w:rFonts w:ascii="StobiSerif Regular" w:hAnsi="StobiSerif Regular" w:cs="Calibri"/>
        </w:rPr>
        <w:t xml:space="preserve"> и доставените нови идеи и прашања кои би требало да бидат предмет на разработка во процесот на ко-креирање (социјална заштита, култура, наука, образование, здравство, дигитализација и слично), се наметна потребата да се изврши фузирање, прегрупирање, но и проширување на опфатот на </w:t>
      </w:r>
      <w:proofErr w:type="spellStart"/>
      <w:r>
        <w:rPr>
          <w:rFonts w:ascii="StobiSerif Regular" w:hAnsi="StobiSerif Regular" w:cs="Calibri"/>
        </w:rPr>
        <w:t>приоритените</w:t>
      </w:r>
      <w:proofErr w:type="spellEnd"/>
      <w:r>
        <w:rPr>
          <w:rFonts w:ascii="StobiSerif Regular" w:hAnsi="StobiSerif Regular" w:cs="Calibri"/>
        </w:rPr>
        <w:t xml:space="preserve"> области за новиот акциски план.  Согласно наведеното, Советот за ОВП ги утврди следните приоритетни области и работни групи во кои продолжи процесот на ко-креација на акцискиот план:</w:t>
      </w:r>
    </w:p>
    <w:p w14:paraId="40C0B3D3" w14:textId="77777777" w:rsidR="003D6056" w:rsidRDefault="003D6056" w:rsidP="003D6056">
      <w:pPr>
        <w:tabs>
          <w:tab w:val="left" w:pos="8931"/>
        </w:tabs>
        <w:rPr>
          <w:rFonts w:ascii="StobiSerif Regular" w:hAnsi="StobiSerif Regular" w:cs="Calibri"/>
        </w:rPr>
      </w:pPr>
    </w:p>
    <w:p w14:paraId="3BBF8F74" w14:textId="77777777" w:rsidR="003D6056" w:rsidRDefault="003D6056" w:rsidP="003D6056">
      <w:pPr>
        <w:tabs>
          <w:tab w:val="left" w:pos="8931"/>
        </w:tabs>
        <w:rPr>
          <w:rFonts w:ascii="StobiSerif Regular" w:hAnsi="StobiSerif Regular" w:cs="Calibri"/>
        </w:rPr>
      </w:pPr>
    </w:p>
    <w:p w14:paraId="3EEF1AE6" w14:textId="77777777" w:rsidR="003D6056" w:rsidRDefault="003D6056" w:rsidP="003D6056">
      <w:pPr>
        <w:tabs>
          <w:tab w:val="left" w:pos="8931"/>
        </w:tabs>
        <w:rPr>
          <w:rFonts w:ascii="StobiSerif Regular" w:hAnsi="StobiSerif Regular" w:cs="Calibri"/>
        </w:rPr>
      </w:pPr>
    </w:p>
    <w:p w14:paraId="75E7C783" w14:textId="77777777" w:rsidR="003D6056" w:rsidRDefault="003D6056" w:rsidP="003D6056">
      <w:pPr>
        <w:spacing w:before="120" w:after="60"/>
        <w:rPr>
          <w:rFonts w:ascii="StobiSerif Regular" w:hAnsi="StobiSerif Regular" w:cs="Calibri"/>
        </w:rPr>
      </w:pPr>
    </w:p>
    <w:p w14:paraId="57DDE440" w14:textId="6BE59AF5" w:rsidR="003D6056" w:rsidRDefault="003D6056" w:rsidP="003D6056">
      <w:pPr>
        <w:spacing w:before="120" w:after="60"/>
        <w:rPr>
          <w:rFonts w:ascii="StobiSerif Regular" w:hAnsi="StobiSerif Regular" w:cs="Calibri"/>
          <w:color w:val="000000"/>
        </w:rPr>
      </w:pPr>
      <w:r>
        <w:rPr>
          <w:rFonts w:ascii="StobiSerif Regular" w:hAnsi="StobiSerif Regular" w:cs="Calibri"/>
          <w:noProof/>
          <w:color w:val="000000"/>
        </w:rPr>
        <w:lastRenderedPageBreak/>
        <w:drawing>
          <wp:inline distT="0" distB="0" distL="0" distR="0" wp14:anchorId="22480222" wp14:editId="2C8E587E">
            <wp:extent cx="5731510" cy="4135755"/>
            <wp:effectExtent l="0" t="0" r="0" b="0"/>
            <wp:docPr id="20620330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135755"/>
                    </a:xfrm>
                    <a:prstGeom prst="rect">
                      <a:avLst/>
                    </a:prstGeom>
                    <a:noFill/>
                  </pic:spPr>
                </pic:pic>
              </a:graphicData>
            </a:graphic>
          </wp:inline>
        </w:drawing>
      </w:r>
    </w:p>
    <w:p w14:paraId="768A483C" w14:textId="77777777" w:rsidR="003D6056" w:rsidRDefault="003D6056" w:rsidP="003D6056">
      <w:pPr>
        <w:pStyle w:val="NoSpacing"/>
        <w:jc w:val="both"/>
        <w:rPr>
          <w:rFonts w:ascii="StobiSerif Regular" w:eastAsia="Times New Roman" w:hAnsi="StobiSerif Regular" w:cs="Calibri"/>
          <w:color w:val="000000"/>
          <w:lang w:eastAsia="en-GB"/>
        </w:rPr>
      </w:pPr>
    </w:p>
    <w:p w14:paraId="32020F99" w14:textId="77777777" w:rsidR="003D6056" w:rsidRDefault="003D6056" w:rsidP="003D6056">
      <w:pPr>
        <w:pStyle w:val="NoSpacing"/>
        <w:jc w:val="both"/>
        <w:rPr>
          <w:rFonts w:ascii="StobiSerif Regular" w:eastAsia="Times New Roman" w:hAnsi="StobiSerif Regular" w:cs="Calibri"/>
          <w:color w:val="000000"/>
          <w:lang w:eastAsia="en-GB"/>
        </w:rPr>
      </w:pPr>
    </w:p>
    <w:p w14:paraId="141D2658" w14:textId="77777777" w:rsidR="003D6056" w:rsidRDefault="003D6056" w:rsidP="003D6056">
      <w:pPr>
        <w:pStyle w:val="NoSpacing"/>
        <w:jc w:val="both"/>
        <w:rPr>
          <w:rFonts w:ascii="StobiSerif Regular" w:eastAsia="Times New Roman" w:hAnsi="StobiSerif Regular" w:cs="Calibri"/>
          <w:lang w:eastAsia="en-GB"/>
        </w:rPr>
      </w:pPr>
      <w:r>
        <w:rPr>
          <w:rFonts w:ascii="StobiSerif Regular" w:eastAsia="Times New Roman" w:hAnsi="StobiSerif Regular" w:cs="Calibri"/>
          <w:color w:val="000000"/>
          <w:lang w:eastAsia="en-GB"/>
        </w:rPr>
        <w:t xml:space="preserve">Во рамки на процесот на ко-креација, беа одржани 3 онлајн </w:t>
      </w:r>
      <w:proofErr w:type="spellStart"/>
      <w:r>
        <w:rPr>
          <w:rFonts w:ascii="StobiSerif Regular" w:eastAsia="Times New Roman" w:hAnsi="StobiSerif Regular" w:cs="Calibri"/>
          <w:color w:val="000000"/>
          <w:lang w:eastAsia="en-GB"/>
        </w:rPr>
        <w:t>информативн</w:t>
      </w:r>
      <w:proofErr w:type="spellEnd"/>
      <w:r>
        <w:rPr>
          <w:rFonts w:ascii="StobiSerif Regular" w:eastAsia="Times New Roman" w:hAnsi="StobiSerif Regular" w:cs="Calibri"/>
          <w:color w:val="000000"/>
          <w:lang w:val="en-US" w:eastAsia="en-GB"/>
        </w:rPr>
        <w:t>o</w:t>
      </w:r>
      <w:r>
        <w:rPr>
          <w:rFonts w:ascii="StobiSerif Regular" w:eastAsia="Times New Roman" w:hAnsi="StobiSerif Regular" w:cs="Calibri"/>
          <w:color w:val="000000"/>
          <w:lang w:eastAsia="en-GB"/>
        </w:rPr>
        <w:t>-едукативни средби, 12 он-</w:t>
      </w:r>
      <w:proofErr w:type="spellStart"/>
      <w:r>
        <w:rPr>
          <w:rFonts w:ascii="StobiSerif Regular" w:eastAsia="Times New Roman" w:hAnsi="StobiSerif Regular" w:cs="Calibri"/>
          <w:color w:val="000000"/>
          <w:lang w:eastAsia="en-GB"/>
        </w:rPr>
        <w:t>лајн</w:t>
      </w:r>
      <w:proofErr w:type="spellEnd"/>
      <w:r>
        <w:rPr>
          <w:rFonts w:ascii="StobiSerif Regular" w:eastAsia="Times New Roman" w:hAnsi="StobiSerif Regular" w:cs="Calibri"/>
          <w:color w:val="000000"/>
          <w:lang w:val="en-US" w:eastAsia="en-GB"/>
        </w:rPr>
        <w:t xml:space="preserve"> </w:t>
      </w:r>
      <w:r>
        <w:rPr>
          <w:rFonts w:ascii="StobiSerif Regular" w:eastAsia="Times New Roman" w:hAnsi="StobiSerif Regular" w:cs="Calibri"/>
          <w:color w:val="000000"/>
          <w:lang w:eastAsia="en-GB"/>
        </w:rPr>
        <w:t xml:space="preserve">средби за идентификување на потреби и проблеми, анализа на активностите што моментално се преземаат за решавање на проблемите, вклучени институции, приоретизирање на мерките, работилници за идентификување и развој на заложби како и над 60 индивидуални состаноци за утврдување и усогласување на предлог заложбите, </w:t>
      </w:r>
      <w:r>
        <w:rPr>
          <w:rFonts w:ascii="StobiSerif Regular" w:eastAsia="Times New Roman" w:hAnsi="StobiSerif Regular" w:cs="Calibri"/>
          <w:lang w:eastAsia="en-GB"/>
        </w:rPr>
        <w:t xml:space="preserve">министерски состанокот за ОВП и две е-работилници на тема Транспарентност и отчетност во јавниот сектор и Управување </w:t>
      </w:r>
      <w:proofErr w:type="spellStart"/>
      <w:r>
        <w:rPr>
          <w:rFonts w:ascii="StobiSerif Regular" w:eastAsia="Times New Roman" w:hAnsi="StobiSerif Regular" w:cs="Calibri"/>
          <w:lang w:eastAsia="en-GB"/>
        </w:rPr>
        <w:t>темелено</w:t>
      </w:r>
      <w:proofErr w:type="spellEnd"/>
      <w:r>
        <w:rPr>
          <w:rFonts w:ascii="StobiSerif Regular" w:eastAsia="Times New Roman" w:hAnsi="StobiSerif Regular" w:cs="Calibri"/>
          <w:lang w:eastAsia="en-GB"/>
        </w:rPr>
        <w:t xml:space="preserve"> на интересите и потребите на граѓаните, кои обезбедија  финализирање на заложбите кои се дел од новиот акциски план. </w:t>
      </w:r>
    </w:p>
    <w:p w14:paraId="3D54B591" w14:textId="77777777" w:rsidR="003D6056" w:rsidRDefault="003D6056" w:rsidP="003D6056">
      <w:pPr>
        <w:pStyle w:val="NoSpacing"/>
        <w:jc w:val="both"/>
        <w:rPr>
          <w:rFonts w:ascii="StobiSerif Regular" w:eastAsia="Times New Roman" w:hAnsi="StobiSerif Regular" w:cs="Calibri"/>
          <w:color w:val="5B9BD5"/>
          <w:lang w:eastAsia="en-GB"/>
        </w:rPr>
      </w:pPr>
    </w:p>
    <w:p w14:paraId="75C64CF8" w14:textId="77777777" w:rsidR="003D6056" w:rsidRDefault="003D6056" w:rsidP="003D6056">
      <w:pPr>
        <w:pStyle w:val="NoSpacing"/>
        <w:jc w:val="both"/>
        <w:rPr>
          <w:rFonts w:ascii="StobiSerif Regular" w:eastAsia="Times New Roman" w:hAnsi="StobiSerif Regular" w:cs="Calibri"/>
          <w:color w:val="5B9BD5"/>
          <w:lang w:eastAsia="en-GB"/>
        </w:rPr>
      </w:pPr>
    </w:p>
    <w:p w14:paraId="5383C95E" w14:textId="77777777" w:rsidR="003D6056" w:rsidRDefault="003D6056" w:rsidP="003D6056">
      <w:pPr>
        <w:pStyle w:val="NoSpacing"/>
        <w:jc w:val="both"/>
        <w:rPr>
          <w:rFonts w:ascii="StobiSerif Regular" w:eastAsia="Times New Roman" w:hAnsi="StobiSerif Regular" w:cs="Calibri"/>
          <w:color w:val="5B9BD5"/>
          <w:lang w:eastAsia="en-GB"/>
        </w:rPr>
      </w:pPr>
    </w:p>
    <w:p w14:paraId="01D0FDFC" w14:textId="77777777" w:rsidR="003D6056" w:rsidRDefault="003D6056" w:rsidP="003D6056">
      <w:pPr>
        <w:pStyle w:val="NoSpacing"/>
        <w:jc w:val="both"/>
        <w:rPr>
          <w:rFonts w:ascii="StobiSerif Regular" w:eastAsia="Times New Roman" w:hAnsi="StobiSerif Regular" w:cs="Calibri"/>
          <w:color w:val="5B9BD5"/>
          <w:lang w:eastAsia="en-GB"/>
        </w:rPr>
      </w:pPr>
    </w:p>
    <w:p w14:paraId="49AC5010" w14:textId="77777777" w:rsidR="003D6056" w:rsidRDefault="003D6056" w:rsidP="003D6056">
      <w:pPr>
        <w:pStyle w:val="NoSpacing"/>
        <w:jc w:val="both"/>
        <w:rPr>
          <w:rFonts w:ascii="StobiSerif Regular" w:eastAsia="Times New Roman" w:hAnsi="StobiSerif Regular" w:cs="Calibri"/>
          <w:color w:val="5B9BD5"/>
          <w:lang w:eastAsia="en-GB"/>
        </w:rPr>
      </w:pPr>
    </w:p>
    <w:p w14:paraId="72885366" w14:textId="77777777" w:rsidR="003D6056" w:rsidRDefault="003D6056" w:rsidP="003D6056">
      <w:pPr>
        <w:pStyle w:val="NoSpacing"/>
        <w:jc w:val="both"/>
        <w:rPr>
          <w:rFonts w:ascii="StobiSerif Regular" w:eastAsia="Times New Roman" w:hAnsi="StobiSerif Regular" w:cs="Calibri"/>
          <w:color w:val="5B9BD5"/>
          <w:lang w:eastAsia="en-GB"/>
        </w:rPr>
      </w:pPr>
    </w:p>
    <w:p w14:paraId="72F45BE0" w14:textId="77777777" w:rsidR="003D6056" w:rsidRDefault="003D6056" w:rsidP="003D6056">
      <w:pPr>
        <w:pStyle w:val="NoSpacing"/>
        <w:jc w:val="both"/>
        <w:rPr>
          <w:rFonts w:ascii="StobiSerif Regular" w:eastAsia="Times New Roman" w:hAnsi="StobiSerif Regular" w:cs="Calibri"/>
          <w:color w:val="5B9BD5"/>
          <w:u w:val="single"/>
          <w:lang w:eastAsia="en-GB"/>
        </w:rPr>
      </w:pPr>
      <w:r>
        <w:rPr>
          <w:rFonts w:ascii="StobiSerif Regular" w:eastAsia="Times New Roman" w:hAnsi="StobiSerif Regular" w:cs="Calibri"/>
          <w:color w:val="5B9BD5"/>
          <w:u w:val="single"/>
          <w:lang w:eastAsia="en-GB"/>
        </w:rPr>
        <w:t>Временска рамка за ко-креирање на НАП 5</w:t>
      </w:r>
    </w:p>
    <w:p w14:paraId="237588E7" w14:textId="77777777" w:rsidR="003D6056" w:rsidRDefault="003D6056" w:rsidP="003D6056">
      <w:pPr>
        <w:pStyle w:val="NoSpacing"/>
        <w:jc w:val="both"/>
        <w:rPr>
          <w:rFonts w:ascii="StobiSerif Regular" w:eastAsia="Times New Roman" w:hAnsi="StobiSerif Regular" w:cs="Calibri"/>
          <w:color w:val="5B9BD5"/>
          <w:u w:val="single"/>
          <w:lang w:eastAsia="en-GB"/>
        </w:rPr>
      </w:pPr>
    </w:p>
    <w:p w14:paraId="6F11C860" w14:textId="7546F950" w:rsidR="003D6056" w:rsidRDefault="003D6056" w:rsidP="003D6056">
      <w:pPr>
        <w:pStyle w:val="NoSpacing"/>
        <w:jc w:val="both"/>
        <w:rPr>
          <w:rFonts w:ascii="StobiSerif Regular" w:eastAsia="Times New Roman" w:hAnsi="StobiSerif Regular" w:cs="Calibri"/>
          <w:color w:val="000000"/>
          <w:lang w:eastAsia="en-GB"/>
        </w:rPr>
      </w:pPr>
      <w:r>
        <w:rPr>
          <w:rFonts w:ascii="StobiSerif Regular" w:hAnsi="StobiSerif Regular"/>
          <w:b/>
          <w:noProof/>
          <w:lang w:val="en-US" w:eastAsia="en-US"/>
        </w:rPr>
        <w:drawing>
          <wp:inline distT="0" distB="0" distL="0" distR="0" wp14:anchorId="29E803BD" wp14:editId="26E333CD">
            <wp:extent cx="5908675" cy="3562985"/>
            <wp:effectExtent l="0" t="38100" r="34925" b="56515"/>
            <wp:docPr id="1775087250" name="Diagram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8410F80" w14:textId="77777777" w:rsidR="003D6056" w:rsidRDefault="003D6056" w:rsidP="003D6056">
      <w:pPr>
        <w:pStyle w:val="NoSpacing"/>
        <w:jc w:val="both"/>
        <w:rPr>
          <w:rFonts w:ascii="StobiSerif Regular" w:eastAsia="Times New Roman" w:hAnsi="StobiSerif Regular" w:cs="Calibri"/>
          <w:color w:val="000000"/>
          <w:lang w:eastAsia="en-GB"/>
        </w:rPr>
      </w:pPr>
    </w:p>
    <w:p w14:paraId="12FC6876" w14:textId="77777777" w:rsidR="003D6056" w:rsidRDefault="003D6056" w:rsidP="003D6056">
      <w:pPr>
        <w:pStyle w:val="NoSpacing"/>
        <w:jc w:val="both"/>
        <w:rPr>
          <w:rFonts w:ascii="StobiSerif Regular" w:eastAsia="Times New Roman" w:hAnsi="StobiSerif Regular" w:cs="Calibri"/>
          <w:lang w:eastAsia="en-GB"/>
        </w:rPr>
      </w:pPr>
      <w:r>
        <w:rPr>
          <w:rFonts w:ascii="StobiSerif Regular" w:eastAsia="Times New Roman" w:hAnsi="StobiSerif Regular" w:cs="Calibri"/>
          <w:lang w:eastAsia="en-GB"/>
        </w:rPr>
        <w:t>Во време на пандемијата на КОВИД-19, комуникацијата  и процесот на ко-креирање се одвиваше онлајн, преку навремено информирање за сите тековни процеси, онлајн настани, повици и можности за вклучување поврзани со ОВП во земјата преку порталот за ПОВ и Мрежата за ОВП.</w:t>
      </w:r>
    </w:p>
    <w:p w14:paraId="78402ADD" w14:textId="77777777" w:rsidR="003D6056" w:rsidRDefault="003D6056" w:rsidP="003D6056">
      <w:pPr>
        <w:pStyle w:val="NoSpacing"/>
        <w:jc w:val="both"/>
        <w:rPr>
          <w:rFonts w:ascii="StobiSerif Regular" w:eastAsia="Times New Roman" w:hAnsi="StobiSerif Regular" w:cs="Calibri"/>
          <w:lang w:eastAsia="en-GB"/>
        </w:rPr>
      </w:pPr>
    </w:p>
    <w:p w14:paraId="50B962BC" w14:textId="77777777" w:rsidR="003D6056" w:rsidRDefault="003D6056" w:rsidP="003D6056">
      <w:pPr>
        <w:pStyle w:val="BodyText"/>
        <w:spacing w:after="0"/>
        <w:jc w:val="both"/>
        <w:rPr>
          <w:highlight w:val="lightGray"/>
        </w:rPr>
      </w:pPr>
    </w:p>
    <w:p w14:paraId="730DA946" w14:textId="77777777" w:rsidR="003D6056" w:rsidRPr="00EF1554" w:rsidRDefault="003D6056" w:rsidP="003D6056">
      <w:pPr>
        <w:spacing w:before="120" w:after="60" w:line="276" w:lineRule="auto"/>
        <w:ind w:firstLine="567"/>
        <w:rPr>
          <w:rFonts w:ascii="StobiSerif Regular" w:eastAsia="Calibri" w:hAnsi="StobiSerif Regular" w:cs="Tahoma"/>
          <w:b/>
          <w:bCs/>
          <w:lang w:eastAsia="en-US"/>
        </w:rPr>
      </w:pPr>
      <w:r w:rsidRPr="00EF1554">
        <w:rPr>
          <w:rFonts w:ascii="StobiSerif Regular" w:eastAsia="Calibri" w:hAnsi="StobiSerif Regular" w:cs="Tahoma"/>
          <w:b/>
          <w:bCs/>
          <w:lang w:eastAsia="en-US"/>
        </w:rPr>
        <w:t>2.2 Спроведување на НАП5</w:t>
      </w:r>
    </w:p>
    <w:p w14:paraId="6E23E09B" w14:textId="77777777" w:rsidR="003D6056" w:rsidRPr="00EF1554" w:rsidRDefault="003D6056" w:rsidP="003D6056">
      <w:pPr>
        <w:spacing w:before="120" w:after="60" w:line="276" w:lineRule="auto"/>
        <w:rPr>
          <w:rFonts w:ascii="StobiSerif Regular" w:eastAsia="Calibri" w:hAnsi="StobiSerif Regular" w:cs="Tahoma"/>
          <w:b/>
          <w:bCs/>
          <w:lang w:eastAsia="en-US"/>
        </w:rPr>
      </w:pPr>
    </w:p>
    <w:p w14:paraId="716C9603" w14:textId="77777777" w:rsidR="003D6056" w:rsidRDefault="003D6056" w:rsidP="003D6056">
      <w:pPr>
        <w:spacing w:before="120" w:after="60" w:line="276" w:lineRule="auto"/>
        <w:rPr>
          <w:rFonts w:ascii="StobiSerif Regular" w:eastAsia="Calibri" w:hAnsi="StobiSerif Regular" w:cs="Tahoma"/>
          <w:b/>
          <w:bCs/>
          <w:lang w:eastAsia="en-US"/>
        </w:rPr>
      </w:pPr>
      <w:r w:rsidRPr="00EF1554">
        <w:rPr>
          <w:rFonts w:ascii="StobiSerif Regular" w:eastAsia="Calibri" w:hAnsi="StobiSerif Regular" w:cs="Tahoma"/>
          <w:b/>
          <w:bCs/>
          <w:lang w:eastAsia="en-US"/>
        </w:rPr>
        <w:t>2.2.1 Организација на процесот на спроведување</w:t>
      </w:r>
    </w:p>
    <w:p w14:paraId="6DC3ED18" w14:textId="77777777" w:rsidR="003D6056" w:rsidRPr="00801B9A" w:rsidRDefault="003D6056" w:rsidP="003D6056">
      <w:pPr>
        <w:spacing w:before="120" w:after="60" w:line="276" w:lineRule="auto"/>
        <w:rPr>
          <w:rFonts w:ascii="StobiSerif Regular" w:eastAsia="Calibri" w:hAnsi="StobiSerif Regular" w:cs="Tahoma"/>
          <w:lang w:eastAsia="en-US"/>
        </w:rPr>
      </w:pPr>
      <w:r>
        <w:rPr>
          <w:rFonts w:ascii="StobiSerif Regular" w:eastAsia="Calibri" w:hAnsi="StobiSerif Regular" w:cs="Tahoma"/>
          <w:lang w:eastAsia="en-US"/>
        </w:rPr>
        <w:t xml:space="preserve">Со цел соодветна соработка и ко-имплементација на НАП 5 од страна на министерот за информатичко општество и администрација беше донесено </w:t>
      </w:r>
      <w:r>
        <w:rPr>
          <w:rFonts w:ascii="StobiSerif Regular" w:eastAsia="Calibri" w:hAnsi="StobiSerif Regular" w:cs="Tahoma"/>
          <w:lang w:eastAsia="en-US"/>
        </w:rPr>
        <w:lastRenderedPageBreak/>
        <w:t>Решение за формирање работна група со сите чинители за спроведување на Националниот Акциски план за Партнерство за отворена власт 2021-2023 година. Притоа секоја работна подгрупа за поединечен приоритет е сочинета од координатор и членови од владини и невладини организации. Работната група како и работните подгрупи одржуваат состаноци, со динамика што заеднички ја утврдуваат со националниот координатор и/или координаторот на заложбата, најмалку на три месеци.</w:t>
      </w:r>
    </w:p>
    <w:p w14:paraId="106BA33D" w14:textId="77777777" w:rsidR="003D6056" w:rsidRDefault="003D6056" w:rsidP="003D6056">
      <w:pPr>
        <w:pStyle w:val="BodyText"/>
        <w:spacing w:after="0"/>
        <w:jc w:val="both"/>
        <w:rPr>
          <w:rFonts w:ascii="StobiSerif Regular" w:eastAsia="Calibri" w:hAnsi="StobiSerif Regular" w:cs="Tahoma"/>
          <w:lang w:eastAsia="en-US"/>
        </w:rPr>
      </w:pPr>
      <w:proofErr w:type="spellStart"/>
      <w:r>
        <w:rPr>
          <w:rFonts w:ascii="StobiSerif Regular" w:eastAsia="Calibri" w:hAnsi="StobiSerif Regular" w:cs="Tahoma"/>
          <w:lang w:val="en-US" w:eastAsia="en-US"/>
        </w:rPr>
        <w:t>Секоја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работна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подгрупа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редовно</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на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квартално</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ниво</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врши</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ажурирање</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на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статусот</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на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реализација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на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достигнувањата</w:t>
      </w:r>
      <w:proofErr w:type="spellEnd"/>
      <w:r>
        <w:rPr>
          <w:rFonts w:ascii="StobiSerif Regular" w:eastAsia="Calibri" w:hAnsi="StobiSerif Regular" w:cs="Tahoma"/>
          <w:lang w:val="en-US" w:eastAsia="en-US"/>
        </w:rPr>
        <w:t xml:space="preserve"> и </w:t>
      </w:r>
      <w:proofErr w:type="spellStart"/>
      <w:r>
        <w:rPr>
          <w:rFonts w:ascii="StobiSerif Regular" w:eastAsia="Calibri" w:hAnsi="StobiSerif Regular" w:cs="Tahoma"/>
          <w:lang w:val="en-US" w:eastAsia="en-US"/>
        </w:rPr>
        <w:t>изготвува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придонеси</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за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спроведување</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на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достигнувањата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од</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односниот</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приоритет</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од</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Националниот</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Акциски</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план</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за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Партнерство</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за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отворена</w:t>
      </w:r>
      <w:proofErr w:type="spellEnd"/>
      <w:r>
        <w:rPr>
          <w:rFonts w:ascii="StobiSerif Regular" w:eastAsia="Calibri" w:hAnsi="StobiSerif Regular" w:cs="Tahoma"/>
          <w:lang w:val="en-US" w:eastAsia="en-US"/>
        </w:rPr>
        <w:t xml:space="preserve"> </w:t>
      </w:r>
      <w:proofErr w:type="spellStart"/>
      <w:r>
        <w:rPr>
          <w:rFonts w:ascii="StobiSerif Regular" w:eastAsia="Calibri" w:hAnsi="StobiSerif Regular" w:cs="Tahoma"/>
          <w:lang w:val="en-US" w:eastAsia="en-US"/>
        </w:rPr>
        <w:t>власт</w:t>
      </w:r>
      <w:proofErr w:type="spellEnd"/>
      <w:r>
        <w:rPr>
          <w:rFonts w:ascii="StobiSerif Regular" w:eastAsia="Calibri" w:hAnsi="StobiSerif Regular" w:cs="Tahoma"/>
          <w:lang w:val="en-US" w:eastAsia="en-US"/>
        </w:rPr>
        <w:t xml:space="preserve"> 2021-2023 </w:t>
      </w:r>
      <w:proofErr w:type="spellStart"/>
      <w:r>
        <w:rPr>
          <w:rFonts w:ascii="StobiSerif Regular" w:eastAsia="Calibri" w:hAnsi="StobiSerif Regular" w:cs="Tahoma"/>
          <w:lang w:val="en-US" w:eastAsia="en-US"/>
        </w:rPr>
        <w:t>година</w:t>
      </w:r>
      <w:proofErr w:type="spellEnd"/>
      <w:r>
        <w:rPr>
          <w:rFonts w:ascii="StobiSerif Regular" w:eastAsia="Calibri" w:hAnsi="StobiSerif Regular" w:cs="Tahoma"/>
          <w:lang w:eastAsia="en-US"/>
        </w:rPr>
        <w:t>. Ажурирање на статусот на реализација на достигнувањата се врши преку алатката за следење на НАП 5, достапна на порталот за Партнерството за отворена власт  (</w:t>
      </w:r>
      <w:hyperlink r:id="rId18" w:history="1">
        <w:r>
          <w:rPr>
            <w:rStyle w:val="Hyperlink"/>
            <w:rFonts w:ascii="StobiSerif Regular" w:eastAsia="Calibri" w:hAnsi="StobiSerif Regular" w:cs="Tahoma"/>
            <w:lang w:eastAsia="en-US"/>
          </w:rPr>
          <w:t>www.ovp.gov.mk</w:t>
        </w:r>
      </w:hyperlink>
      <w:r>
        <w:rPr>
          <w:rFonts w:ascii="StobiSerif Regular" w:eastAsia="Calibri" w:hAnsi="StobiSerif Regular" w:cs="Tahoma"/>
          <w:lang w:eastAsia="en-US"/>
        </w:rPr>
        <w:t>) која</w:t>
      </w:r>
      <w:r>
        <w:t xml:space="preserve"> </w:t>
      </w:r>
      <w:r>
        <w:rPr>
          <w:rFonts w:ascii="StobiSerif Regular" w:eastAsia="Calibri" w:hAnsi="StobiSerif Regular" w:cs="Tahoma"/>
          <w:lang w:eastAsia="en-US"/>
        </w:rPr>
        <w:t>обезбедува транспарентен и навремен увид на статусот на реализација преку наративен, табеларен и графички приказ на прогресот на реализација на заложбите и достигнувањата.</w:t>
      </w:r>
    </w:p>
    <w:p w14:paraId="0C6215D5" w14:textId="77777777" w:rsidR="003D6056" w:rsidRDefault="003D6056" w:rsidP="003D6056">
      <w:pPr>
        <w:pStyle w:val="BodyText"/>
        <w:spacing w:after="0"/>
        <w:jc w:val="both"/>
        <w:rPr>
          <w:rFonts w:ascii="StobiSerif Regular" w:eastAsia="Calibri" w:hAnsi="StobiSerif Regular" w:cs="Tahoma"/>
          <w:lang w:eastAsia="en-US"/>
        </w:rPr>
      </w:pPr>
    </w:p>
    <w:p w14:paraId="29EC4879" w14:textId="77777777" w:rsidR="003D6056" w:rsidRPr="00801B9A" w:rsidRDefault="003D6056" w:rsidP="003D6056">
      <w:pPr>
        <w:pStyle w:val="BodyText"/>
        <w:spacing w:after="0"/>
        <w:jc w:val="both"/>
        <w:rPr>
          <w:rFonts w:ascii="StobiSerif Regular" w:eastAsia="Calibri" w:hAnsi="StobiSerif Regular" w:cs="Tahoma"/>
          <w:lang w:eastAsia="en-US"/>
        </w:rPr>
      </w:pPr>
      <w:r w:rsidRPr="00801B9A">
        <w:rPr>
          <w:rFonts w:ascii="StobiSerif Regular" w:eastAsia="Calibri" w:hAnsi="StobiSerif Regular" w:cs="Tahoma"/>
          <w:lang w:eastAsia="en-US"/>
        </w:rPr>
        <w:t xml:space="preserve">Советот за координација и следење на процесот на Партнерството за отворена власт и Националниот Акциски план за Партнерството за отворена власт 2021-2023 година, формиран со решение на министерот за информатичко општество и администрација со број 15-4588/1 од 23.11.2021 година (во натамошниот текст: Совет за ПОВ) ја </w:t>
      </w:r>
      <w:r>
        <w:rPr>
          <w:rFonts w:ascii="StobiSerif Regular" w:eastAsia="Calibri" w:hAnsi="StobiSerif Regular" w:cs="Tahoma"/>
          <w:lang w:eastAsia="en-US"/>
        </w:rPr>
        <w:t>надополнува</w:t>
      </w:r>
      <w:r w:rsidRPr="00801B9A">
        <w:rPr>
          <w:rFonts w:ascii="StobiSerif Regular" w:eastAsia="Calibri" w:hAnsi="StobiSerif Regular" w:cs="Tahoma"/>
          <w:lang w:eastAsia="en-US"/>
        </w:rPr>
        <w:t xml:space="preserve"> структурата за координација, следење и спроведување на процесот на Партнерство за отворена власт во Република Северна Македонија.</w:t>
      </w:r>
    </w:p>
    <w:p w14:paraId="68A5175B" w14:textId="77777777" w:rsidR="003D6056" w:rsidRPr="00801B9A" w:rsidRDefault="003D6056" w:rsidP="003D6056">
      <w:pPr>
        <w:pStyle w:val="BodyText"/>
        <w:spacing w:after="0"/>
        <w:jc w:val="both"/>
        <w:rPr>
          <w:rFonts w:ascii="StobiSerif Regular" w:eastAsia="Calibri" w:hAnsi="StobiSerif Regular" w:cs="Tahoma"/>
          <w:lang w:eastAsia="en-US"/>
        </w:rPr>
      </w:pPr>
    </w:p>
    <w:p w14:paraId="207DF040" w14:textId="77777777" w:rsidR="003D6056" w:rsidRDefault="003D6056" w:rsidP="003D6056">
      <w:pPr>
        <w:pStyle w:val="BodyText"/>
        <w:spacing w:after="0"/>
        <w:jc w:val="both"/>
        <w:rPr>
          <w:rFonts w:ascii="StobiSerif Regular" w:eastAsia="Calibri" w:hAnsi="StobiSerif Regular" w:cs="Tahoma"/>
          <w:lang w:eastAsia="en-US"/>
        </w:rPr>
      </w:pPr>
      <w:r w:rsidRPr="00801B9A">
        <w:rPr>
          <w:rFonts w:ascii="StobiSerif Regular" w:eastAsia="Calibri" w:hAnsi="StobiSerif Regular" w:cs="Tahoma"/>
          <w:lang w:eastAsia="en-US"/>
        </w:rPr>
        <w:t>Советот за ПОВ е составен од 16 членови од кои осум ги претставуваат Владата, Собранието и Врховниот суд на Република Северна Македонија и еднаков  број претставници од граѓанските организации номинирани преку Мрежата за ПОВ. Советот има клучна советодавна и одлучувачка улога во сите фази на процесот на ПОВ низ циклусот на планирање, во развојот на АП и во спроведувањето, следењето и известувањето за АП.</w:t>
      </w:r>
    </w:p>
    <w:p w14:paraId="1A769A33" w14:textId="77777777" w:rsidR="003D6056" w:rsidRDefault="003D6056" w:rsidP="003D6056">
      <w:pPr>
        <w:pStyle w:val="BodyText"/>
        <w:spacing w:after="0"/>
        <w:jc w:val="both"/>
        <w:rPr>
          <w:rFonts w:ascii="StobiSerif Regular" w:eastAsia="Calibri" w:hAnsi="StobiSerif Regular" w:cs="Tahoma"/>
          <w:lang w:eastAsia="en-US"/>
        </w:rPr>
      </w:pPr>
    </w:p>
    <w:p w14:paraId="53064CED" w14:textId="77777777" w:rsidR="003D6056" w:rsidRDefault="003D6056" w:rsidP="003D6056">
      <w:pPr>
        <w:pStyle w:val="BodyText"/>
        <w:jc w:val="both"/>
        <w:rPr>
          <w:rFonts w:ascii="StobiSerif Regular" w:eastAsia="Calibri" w:hAnsi="StobiSerif Regular" w:cs="Tahoma"/>
          <w:lang w:eastAsia="en-US"/>
        </w:rPr>
      </w:pPr>
      <w:r>
        <w:rPr>
          <w:rFonts w:ascii="StobiSerif Regular" w:eastAsia="Calibri" w:hAnsi="StobiSerif Regular" w:cs="Tahoma"/>
          <w:lang w:eastAsia="en-US"/>
        </w:rPr>
        <w:lastRenderedPageBreak/>
        <w:t>Во рамки на редовните активности во процесот на координација и имплементација на иницијативата за ПОВ</w:t>
      </w:r>
      <w:r>
        <w:rPr>
          <w:rFonts w:ascii="StobiSerif Regular" w:eastAsia="Calibri" w:hAnsi="StobiSerif Regular" w:cs="Tahoma"/>
          <w:lang w:val="en-US" w:eastAsia="en-US"/>
        </w:rPr>
        <w:t xml:space="preserve">, </w:t>
      </w:r>
      <w:r>
        <w:rPr>
          <w:rFonts w:ascii="StobiSerif Regular" w:eastAsia="Calibri" w:hAnsi="StobiSerif Regular" w:cs="Tahoma"/>
          <w:lang w:eastAsia="en-US"/>
        </w:rPr>
        <w:t>во изминатиот период се реализирани поголем број на активности:</w:t>
      </w:r>
    </w:p>
    <w:p w14:paraId="33C1F4FE" w14:textId="77777777" w:rsidR="003D6056" w:rsidRDefault="003D6056" w:rsidP="003D6056">
      <w:pPr>
        <w:pStyle w:val="BodyText"/>
        <w:jc w:val="both"/>
        <w:rPr>
          <w:rFonts w:ascii="StobiSerif Regular" w:eastAsia="Calibri" w:hAnsi="StobiSerif Regular" w:cs="Tahoma"/>
          <w:lang w:eastAsia="en-US"/>
        </w:rPr>
      </w:pPr>
      <w:r>
        <w:rPr>
          <w:rFonts w:ascii="StobiSerif Regular" w:eastAsia="Calibri" w:hAnsi="StobiSerif Regular" w:cs="Tahoma"/>
          <w:lang w:eastAsia="en-US"/>
        </w:rPr>
        <w:t>-</w:t>
      </w:r>
      <w:r>
        <w:rPr>
          <w:rFonts w:ascii="StobiSerif Regular" w:eastAsia="Calibri" w:hAnsi="StobiSerif Regular" w:cs="Tahoma"/>
          <w:lang w:eastAsia="en-US"/>
        </w:rPr>
        <w:tab/>
      </w:r>
      <w:hyperlink r:id="rId19" w:history="1">
        <w:r w:rsidRPr="00EF1554">
          <w:rPr>
            <w:rStyle w:val="Hyperlink"/>
            <w:rFonts w:ascii="StobiSerif Regular" w:eastAsia="Calibri" w:hAnsi="StobiSerif Regular" w:cs="Tahoma"/>
            <w:lang w:eastAsia="en-US"/>
          </w:rPr>
          <w:t>Конференција на високо ниво за промоција на петтиот Национален акциски план за Партнерство за отворена власт 2021-2023</w:t>
        </w:r>
      </w:hyperlink>
      <w:r>
        <w:rPr>
          <w:rFonts w:ascii="StobiSerif Regular" w:eastAsia="Calibri" w:hAnsi="StobiSerif Regular" w:cs="Tahoma"/>
          <w:lang w:eastAsia="en-US"/>
        </w:rPr>
        <w:t>;</w:t>
      </w:r>
    </w:p>
    <w:p w14:paraId="32E08665" w14:textId="77777777" w:rsidR="003D6056" w:rsidRDefault="003D6056" w:rsidP="003D6056">
      <w:pPr>
        <w:pStyle w:val="BodyText"/>
        <w:jc w:val="both"/>
        <w:rPr>
          <w:rFonts w:ascii="StobiSerif Regular" w:eastAsia="Calibri" w:hAnsi="StobiSerif Regular" w:cs="Tahoma"/>
          <w:lang w:eastAsia="en-US"/>
        </w:rPr>
      </w:pPr>
      <w:r>
        <w:rPr>
          <w:rFonts w:ascii="StobiSerif Regular" w:eastAsia="Calibri" w:hAnsi="StobiSerif Regular" w:cs="Tahoma"/>
          <w:lang w:eastAsia="en-US"/>
        </w:rPr>
        <w:t>-</w:t>
      </w:r>
      <w:r>
        <w:rPr>
          <w:rFonts w:ascii="StobiSerif Regular" w:eastAsia="Calibri" w:hAnsi="StobiSerif Regular" w:cs="Tahoma"/>
          <w:lang w:eastAsia="en-US"/>
        </w:rPr>
        <w:tab/>
      </w:r>
      <w:hyperlink r:id="rId20" w:history="1">
        <w:r w:rsidRPr="00EF1554">
          <w:rPr>
            <w:rStyle w:val="Hyperlink"/>
            <w:rFonts w:ascii="StobiSerif Regular" w:eastAsia="Calibri" w:hAnsi="StobiSerif Regular" w:cs="Tahoma"/>
            <w:lang w:eastAsia="en-US"/>
          </w:rPr>
          <w:t>три седници на Советот за координација и следење на процесот на Партнерство за отворена власт 2021-2023</w:t>
        </w:r>
      </w:hyperlink>
      <w:r>
        <w:rPr>
          <w:rFonts w:ascii="StobiSerif Regular" w:eastAsia="Calibri" w:hAnsi="StobiSerif Regular" w:cs="Tahoma"/>
          <w:lang w:eastAsia="en-US"/>
        </w:rPr>
        <w:t>;</w:t>
      </w:r>
    </w:p>
    <w:p w14:paraId="6A90AD86" w14:textId="77777777" w:rsidR="003D6056" w:rsidRDefault="003D6056" w:rsidP="003D6056">
      <w:pPr>
        <w:pStyle w:val="BodyText"/>
        <w:jc w:val="both"/>
        <w:rPr>
          <w:rFonts w:ascii="StobiSerif Regular" w:eastAsia="Calibri" w:hAnsi="StobiSerif Regular" w:cs="Tahoma"/>
          <w:lang w:eastAsia="en-US"/>
        </w:rPr>
      </w:pPr>
      <w:r>
        <w:rPr>
          <w:rFonts w:ascii="StobiSerif Regular" w:eastAsia="Calibri" w:hAnsi="StobiSerif Regular" w:cs="Tahoma"/>
          <w:lang w:eastAsia="en-US"/>
        </w:rPr>
        <w:t>-</w:t>
      </w:r>
      <w:r>
        <w:rPr>
          <w:rFonts w:ascii="StobiSerif Regular" w:eastAsia="Calibri" w:hAnsi="StobiSerif Regular" w:cs="Tahoma"/>
          <w:lang w:eastAsia="en-US"/>
        </w:rPr>
        <w:tab/>
      </w:r>
      <w:hyperlink r:id="rId21" w:history="1">
        <w:r w:rsidRPr="00911C56">
          <w:rPr>
            <w:rStyle w:val="Hyperlink"/>
            <w:rFonts w:ascii="StobiSerif Regular" w:eastAsia="Calibri" w:hAnsi="StobiSerif Regular" w:cs="Tahoma"/>
            <w:lang w:eastAsia="en-US"/>
          </w:rPr>
          <w:t>шест поединечни работни средби со Работната група со сите чинители за спроведување на Националниот Акциски план за Партнерство за отворена власт 2021-2023 година</w:t>
        </w:r>
      </w:hyperlink>
      <w:r>
        <w:rPr>
          <w:rFonts w:ascii="StobiSerif Regular" w:eastAsia="Calibri" w:hAnsi="StobiSerif Regular" w:cs="Tahoma"/>
          <w:lang w:eastAsia="en-US"/>
        </w:rPr>
        <w:t xml:space="preserve"> и</w:t>
      </w:r>
    </w:p>
    <w:p w14:paraId="4B5DEFE8" w14:textId="77777777" w:rsidR="003D6056" w:rsidRDefault="003D6056" w:rsidP="003D6056">
      <w:pPr>
        <w:pStyle w:val="BodyText"/>
        <w:spacing w:after="0"/>
        <w:jc w:val="both"/>
        <w:rPr>
          <w:rFonts w:ascii="StobiSerif Regular" w:eastAsia="Calibri" w:hAnsi="StobiSerif Regular" w:cs="Tahoma"/>
          <w:lang w:eastAsia="en-US"/>
        </w:rPr>
      </w:pPr>
      <w:r>
        <w:rPr>
          <w:rFonts w:ascii="StobiSerif Regular" w:eastAsia="Calibri" w:hAnsi="StobiSerif Regular" w:cs="Tahoma"/>
          <w:lang w:eastAsia="en-US"/>
        </w:rPr>
        <w:t>-</w:t>
      </w:r>
      <w:r>
        <w:rPr>
          <w:rFonts w:ascii="StobiSerif Regular" w:eastAsia="Calibri" w:hAnsi="StobiSerif Regular" w:cs="Tahoma"/>
          <w:lang w:eastAsia="en-US"/>
        </w:rPr>
        <w:tab/>
      </w:r>
      <w:hyperlink r:id="rId22" w:history="1">
        <w:r w:rsidRPr="00911C56">
          <w:rPr>
            <w:rStyle w:val="Hyperlink"/>
            <w:rFonts w:ascii="StobiSerif Regular" w:eastAsia="Calibri" w:hAnsi="StobiSerif Regular" w:cs="Tahoma"/>
            <w:lang w:eastAsia="en-US"/>
          </w:rPr>
          <w:t>Работилница за градење капацитети на новите членови и заменици на членови на Советот за координација и следење на процесот на Партнерството за отворена власт 2021-2023</w:t>
        </w:r>
      </w:hyperlink>
      <w:r>
        <w:rPr>
          <w:rFonts w:ascii="StobiSerif Regular" w:eastAsia="Calibri" w:hAnsi="StobiSerif Regular" w:cs="Tahoma"/>
          <w:lang w:eastAsia="en-US"/>
        </w:rPr>
        <w:t>.</w:t>
      </w:r>
    </w:p>
    <w:p w14:paraId="6DC96547" w14:textId="77777777" w:rsidR="003D6056" w:rsidRDefault="003D6056" w:rsidP="003D6056">
      <w:pPr>
        <w:pStyle w:val="BodyText"/>
        <w:spacing w:after="0"/>
        <w:jc w:val="both"/>
      </w:pPr>
    </w:p>
    <w:p w14:paraId="623F585E" w14:textId="77777777" w:rsidR="003D6056" w:rsidRDefault="003D6056" w:rsidP="003D6056"/>
    <w:p w14:paraId="332DE67D" w14:textId="77777777" w:rsidR="003D6056" w:rsidRPr="003A5156" w:rsidRDefault="003D6056" w:rsidP="003D6056">
      <w:pPr>
        <w:rPr>
          <w:rFonts w:ascii="StobiSerif Regular" w:eastAsia="Calibri" w:hAnsi="StobiSerif Regular" w:cs="Tahoma"/>
          <w:lang w:eastAsia="en-US"/>
        </w:rPr>
      </w:pPr>
      <w:r w:rsidRPr="003A5156">
        <w:rPr>
          <w:rFonts w:ascii="StobiSerif Regular" w:eastAsia="Calibri" w:hAnsi="StobiSerif Regular" w:cs="Tahoma"/>
          <w:lang w:eastAsia="en-US"/>
        </w:rPr>
        <w:t>2.2.2  Статус на реализација</w:t>
      </w:r>
    </w:p>
    <w:p w14:paraId="02F0292C" w14:textId="77777777" w:rsidR="003D6056" w:rsidRPr="003A5156" w:rsidRDefault="003D6056" w:rsidP="003D6056">
      <w:pPr>
        <w:rPr>
          <w:rFonts w:ascii="StobiSerif Regular" w:eastAsia="Calibri" w:hAnsi="StobiSerif Regular" w:cs="Tahoma"/>
          <w:lang w:eastAsia="en-US"/>
        </w:rPr>
      </w:pPr>
    </w:p>
    <w:p w14:paraId="526835B4" w14:textId="77777777" w:rsidR="003D6056" w:rsidRDefault="003D6056" w:rsidP="003D6056">
      <w:pPr>
        <w:rPr>
          <w:rFonts w:ascii="StobiSerif Regular" w:eastAsia="Calibri" w:hAnsi="StobiSerif Regular" w:cs="Tahoma"/>
          <w:lang w:eastAsia="en-US"/>
        </w:rPr>
      </w:pPr>
      <w:r w:rsidRPr="003A5156">
        <w:rPr>
          <w:rFonts w:ascii="StobiSerif Regular" w:eastAsia="Calibri" w:hAnsi="StobiSerif Regular" w:cs="Tahoma"/>
          <w:lang w:eastAsia="en-US"/>
        </w:rPr>
        <w:t>За следење на статусот на реализација на Националниот Акциски план за Партнерство за отворена власт 2021-2023 година и за подготовка</w:t>
      </w:r>
      <w:r>
        <w:rPr>
          <w:rFonts w:ascii="StobiSerif Regular" w:eastAsia="Calibri" w:hAnsi="StobiSerif Regular" w:cs="Tahoma"/>
          <w:lang w:eastAsia="en-US"/>
        </w:rPr>
        <w:t xml:space="preserve"> на</w:t>
      </w:r>
      <w:r w:rsidRPr="003A5156">
        <w:rPr>
          <w:rFonts w:ascii="StobiSerif Regular" w:eastAsia="Calibri" w:hAnsi="StobiSerif Regular" w:cs="Tahoma"/>
          <w:lang w:eastAsia="en-US"/>
        </w:rPr>
        <w:t xml:space="preserve"> Извештај</w:t>
      </w:r>
      <w:r>
        <w:rPr>
          <w:rFonts w:ascii="StobiSerif Regular" w:eastAsia="Calibri" w:hAnsi="StobiSerif Regular" w:cs="Tahoma"/>
          <w:lang w:eastAsia="en-US"/>
        </w:rPr>
        <w:t>от</w:t>
      </w:r>
      <w:r w:rsidRPr="003A5156">
        <w:rPr>
          <w:rFonts w:ascii="StobiSerif Regular" w:eastAsia="Calibri" w:hAnsi="StobiSerif Regular" w:cs="Tahoma"/>
          <w:lang w:eastAsia="en-US"/>
        </w:rPr>
        <w:t xml:space="preserve"> за само-оценка </w:t>
      </w:r>
      <w:r>
        <w:rPr>
          <w:rFonts w:ascii="StobiSerif Regular" w:eastAsia="Calibri" w:hAnsi="StobiSerif Regular" w:cs="Tahoma"/>
          <w:lang w:eastAsia="en-US"/>
        </w:rPr>
        <w:t xml:space="preserve">на НАП 5 </w:t>
      </w:r>
      <w:r w:rsidRPr="003A5156">
        <w:rPr>
          <w:rFonts w:ascii="StobiSerif Regular" w:eastAsia="Calibri" w:hAnsi="StobiSerif Regular" w:cs="Tahoma"/>
          <w:lang w:eastAsia="en-US"/>
        </w:rPr>
        <w:t xml:space="preserve">за 2021 година, Министерството за информатичко општество и администрација ги користи податоците внесени од страна на работните подгрупи на порталот </w:t>
      </w:r>
      <w:r>
        <w:rPr>
          <w:rFonts w:ascii="StobiSerif Regular" w:eastAsia="Calibri" w:hAnsi="StobiSerif Regular" w:cs="Tahoma"/>
          <w:lang w:eastAsia="en-US"/>
        </w:rPr>
        <w:t xml:space="preserve">за ПОВ </w:t>
      </w:r>
      <w:r w:rsidRPr="003A5156">
        <w:rPr>
          <w:rFonts w:ascii="StobiSerif Regular" w:eastAsia="Calibri" w:hAnsi="StobiSerif Regular" w:cs="Tahoma"/>
          <w:lang w:eastAsia="en-US"/>
        </w:rPr>
        <w:t xml:space="preserve">и дополнителни податоци добиени од координаторите на заложбите по пат на електронска пошта. </w:t>
      </w:r>
    </w:p>
    <w:p w14:paraId="02E1277E" w14:textId="77777777" w:rsidR="003D6056" w:rsidRDefault="003D6056" w:rsidP="003D6056">
      <w:pPr>
        <w:rPr>
          <w:rFonts w:ascii="StobiSerif Regular" w:eastAsia="Calibri" w:hAnsi="StobiSerif Regular" w:cs="Tahoma"/>
          <w:lang w:eastAsia="en-US"/>
        </w:rPr>
      </w:pPr>
    </w:p>
    <w:p w14:paraId="12B4C2E0" w14:textId="77777777" w:rsidR="003D6056" w:rsidRDefault="003D6056" w:rsidP="003D6056">
      <w:pPr>
        <w:rPr>
          <w:rFonts w:ascii="StobiSerif Regular" w:eastAsia="Calibri" w:hAnsi="StobiSerif Regular" w:cs="Tahoma"/>
          <w:lang w:eastAsia="en-US"/>
        </w:rPr>
      </w:pPr>
      <w:r w:rsidRPr="003A5156">
        <w:rPr>
          <w:rFonts w:ascii="StobiSerif Regular" w:eastAsia="Calibri" w:hAnsi="StobiSerif Regular" w:cs="Tahoma"/>
          <w:lang w:eastAsia="en-US"/>
        </w:rPr>
        <w:t>Како додадена вредност во процесот на оценка на спроведувањето на НАП5 и подготовката на Извештајот може да се нотираат активностите за независно мерење на нивото на имплементација на сите заложби во рамки на проектот „Поддршка на процесот за спроведување и следење на Националниот акциски план за Партнерство за отворена власт 2021-2023” кои беа спроведени во втората половина од 2022 година</w:t>
      </w:r>
      <w:r>
        <w:rPr>
          <w:rStyle w:val="FootnoteReference"/>
          <w:rFonts w:ascii="StobiSerif Regular" w:eastAsia="Calibri" w:hAnsi="StobiSerif Regular" w:cs="Tahoma"/>
          <w:lang w:eastAsia="en-US"/>
        </w:rPr>
        <w:footnoteReference w:id="2"/>
      </w:r>
      <w:r w:rsidRPr="003A5156">
        <w:rPr>
          <w:rFonts w:ascii="StobiSerif Regular" w:eastAsia="Calibri" w:hAnsi="StobiSerif Regular" w:cs="Tahoma"/>
          <w:lang w:eastAsia="en-US"/>
        </w:rPr>
        <w:t xml:space="preserve"> .</w:t>
      </w:r>
    </w:p>
    <w:p w14:paraId="3BA4C466" w14:textId="77777777" w:rsidR="003D6056" w:rsidRDefault="003D6056" w:rsidP="003D6056"/>
    <w:p w14:paraId="3B0F504D" w14:textId="77777777" w:rsidR="003D6056" w:rsidRDefault="003D6056" w:rsidP="003D6056">
      <w:pPr>
        <w:rPr>
          <w:rFonts w:ascii="StobiSerif Regular" w:eastAsia="Calibri" w:hAnsi="StobiSerif Regular" w:cs="Tahoma"/>
          <w:lang w:eastAsia="en-US"/>
        </w:rPr>
      </w:pPr>
      <w:r>
        <w:rPr>
          <w:rFonts w:ascii="StobiSerif Regular" w:eastAsia="Calibri" w:hAnsi="StobiSerif Regular" w:cs="Tahoma"/>
          <w:lang w:eastAsia="en-US"/>
        </w:rPr>
        <w:t>Врз основа на редовното ажурирање на статусот на реализација на достигнувањата од НАП 5, достапен во реално време на порталот за Партнерството за отворена власт  (</w:t>
      </w:r>
      <w:hyperlink r:id="rId23" w:history="1">
        <w:r>
          <w:rPr>
            <w:rStyle w:val="Hyperlink"/>
            <w:rFonts w:ascii="StobiSerif Regular" w:eastAsia="Calibri" w:hAnsi="StobiSerif Regular" w:cs="Tahoma"/>
            <w:lang w:eastAsia="en-US"/>
          </w:rPr>
          <w:t>www.ovp.gov.mk</w:t>
        </w:r>
      </w:hyperlink>
      <w:r>
        <w:rPr>
          <w:rFonts w:ascii="StobiSerif Regular" w:eastAsia="Calibri" w:hAnsi="StobiSerif Regular" w:cs="Tahoma"/>
          <w:lang w:eastAsia="en-US"/>
        </w:rPr>
        <w:t xml:space="preserve">), во извештајниот период </w:t>
      </w:r>
      <w:r w:rsidRPr="00AA0166">
        <w:rPr>
          <w:rFonts w:ascii="StobiSerif Regular" w:eastAsia="Calibri" w:hAnsi="StobiSerif Regular" w:cs="Tahoma"/>
          <w:lang w:eastAsia="en-US"/>
        </w:rPr>
        <w:t xml:space="preserve">октомври 2021-октомври 2022 може да се констатира дека </w:t>
      </w:r>
      <w:r>
        <w:rPr>
          <w:rFonts w:ascii="StobiSerif Regular" w:eastAsia="Calibri" w:hAnsi="StobiSerif Regular" w:cs="Tahoma"/>
          <w:lang w:eastAsia="en-US"/>
        </w:rPr>
        <w:t>о</w:t>
      </w:r>
      <w:r w:rsidRPr="00AA0166">
        <w:rPr>
          <w:rFonts w:ascii="StobiSerif Regular" w:eastAsia="Calibri" w:hAnsi="StobiSerif Regular" w:cs="Tahoma"/>
          <w:lang w:eastAsia="en-US"/>
        </w:rPr>
        <w:t xml:space="preserve">д вкупно </w:t>
      </w:r>
      <w:r>
        <w:rPr>
          <w:rFonts w:ascii="StobiSerif Regular" w:eastAsia="Calibri" w:hAnsi="StobiSerif Regular" w:cs="Tahoma"/>
          <w:lang w:eastAsia="en-US"/>
        </w:rPr>
        <w:t xml:space="preserve">23 </w:t>
      </w:r>
      <w:r w:rsidRPr="00AA0166">
        <w:rPr>
          <w:rFonts w:ascii="StobiSerif Regular" w:eastAsia="Calibri" w:hAnsi="StobiSerif Regular" w:cs="Tahoma"/>
          <w:lang w:eastAsia="en-US"/>
        </w:rPr>
        <w:t xml:space="preserve">заложби од акцискиот план, </w:t>
      </w:r>
      <w:r>
        <w:rPr>
          <w:rFonts w:ascii="StobiSerif Regular" w:eastAsia="Calibri" w:hAnsi="StobiSerif Regular" w:cs="Tahoma"/>
          <w:lang w:eastAsia="en-US"/>
        </w:rPr>
        <w:t xml:space="preserve">2 заложби се со статус завршени, </w:t>
      </w:r>
      <w:r w:rsidRPr="00AA0166">
        <w:rPr>
          <w:rFonts w:ascii="StobiSerif Regular" w:eastAsia="Calibri" w:hAnsi="StobiSerif Regular" w:cs="Tahoma"/>
          <w:lang w:eastAsia="en-US"/>
        </w:rPr>
        <w:t xml:space="preserve">7 имаат значително ниво на реализација, </w:t>
      </w:r>
      <w:r>
        <w:rPr>
          <w:rFonts w:ascii="StobiSerif Regular" w:eastAsia="Calibri" w:hAnsi="StobiSerif Regular" w:cs="Tahoma"/>
          <w:lang w:eastAsia="en-US"/>
        </w:rPr>
        <w:t>8</w:t>
      </w:r>
      <w:r w:rsidRPr="00AA0166">
        <w:rPr>
          <w:rFonts w:ascii="StobiSerif Regular" w:eastAsia="Calibri" w:hAnsi="StobiSerif Regular" w:cs="Tahoma"/>
          <w:lang w:eastAsia="en-US"/>
        </w:rPr>
        <w:t xml:space="preserve"> се на ограничено ниво а за </w:t>
      </w:r>
      <w:r>
        <w:rPr>
          <w:rFonts w:ascii="StobiSerif Regular" w:eastAsia="Calibri" w:hAnsi="StobiSerif Regular" w:cs="Tahoma"/>
          <w:lang w:eastAsia="en-US"/>
        </w:rPr>
        <w:t>6</w:t>
      </w:r>
      <w:r w:rsidRPr="00AA0166">
        <w:rPr>
          <w:rFonts w:ascii="StobiSerif Regular" w:eastAsia="Calibri" w:hAnsi="StobiSerif Regular" w:cs="Tahoma"/>
          <w:lang w:eastAsia="en-US"/>
        </w:rPr>
        <w:t xml:space="preserve"> заложби се очекува нивно отпочнување согласно утврдената временска рамка.</w:t>
      </w:r>
    </w:p>
    <w:p w14:paraId="55886C3E" w14:textId="77777777" w:rsidR="003D6056" w:rsidRDefault="003D6056" w:rsidP="003D6056">
      <w:pPr>
        <w:rPr>
          <w:rFonts w:ascii="StobiSerif Regular" w:eastAsia="Calibri" w:hAnsi="StobiSerif Regular" w:cs="Tahoma"/>
          <w:lang w:eastAsia="en-US"/>
        </w:rPr>
      </w:pPr>
    </w:p>
    <w:p w14:paraId="6DAD714B" w14:textId="77777777" w:rsidR="003D6056" w:rsidRDefault="003D6056" w:rsidP="003D6056">
      <w:pPr>
        <w:rPr>
          <w:rFonts w:ascii="StobiSerif Regular" w:eastAsia="Calibri" w:hAnsi="StobiSerif Regular" w:cs="Tahoma"/>
          <w:lang w:eastAsia="en-US"/>
        </w:rPr>
      </w:pPr>
      <w:r w:rsidRPr="003A5156">
        <w:rPr>
          <w:rFonts w:ascii="StobiSerif Regular" w:eastAsia="Calibri" w:hAnsi="StobiSerif Regular" w:cs="Tahoma"/>
          <w:lang w:eastAsia="en-US"/>
        </w:rPr>
        <w:t xml:space="preserve">Извештајот за </w:t>
      </w:r>
      <w:proofErr w:type="spellStart"/>
      <w:r w:rsidRPr="003A5156">
        <w:rPr>
          <w:rFonts w:ascii="StobiSerif Regular" w:eastAsia="Calibri" w:hAnsi="StobiSerif Regular" w:cs="Tahoma"/>
          <w:lang w:eastAsia="en-US"/>
        </w:rPr>
        <w:t>самооценка</w:t>
      </w:r>
      <w:proofErr w:type="spellEnd"/>
      <w:r w:rsidRPr="003A5156">
        <w:rPr>
          <w:rFonts w:ascii="StobiSerif Regular" w:eastAsia="Calibri" w:hAnsi="StobiSerif Regular" w:cs="Tahoma"/>
          <w:lang w:eastAsia="en-US"/>
        </w:rPr>
        <w:t xml:space="preserve"> дава преглед на начинот на развој на акцискиот план, статус на реализација, преглед на постигнувањата за секоја од приоритетните области од тековниот НАП 5 како и препораки за подобрување на имплементацијата на заложбите.  Детален преглед е даден во </w:t>
      </w:r>
      <w:r w:rsidRPr="00AA0166">
        <w:rPr>
          <w:rFonts w:ascii="StobiSerif Regular" w:eastAsia="Calibri" w:hAnsi="StobiSerif Regular" w:cs="Tahoma"/>
          <w:lang w:eastAsia="en-US"/>
        </w:rPr>
        <w:t>прилог 1 на овој извештај.</w:t>
      </w:r>
    </w:p>
    <w:p w14:paraId="31E0443B" w14:textId="77777777" w:rsidR="003D6056" w:rsidRDefault="003D6056" w:rsidP="003D6056">
      <w:pPr>
        <w:rPr>
          <w:rFonts w:ascii="StobiSerif Regular" w:eastAsia="Calibri" w:hAnsi="StobiSerif Regular" w:cs="Tahoma"/>
          <w:lang w:eastAsia="en-US"/>
        </w:rPr>
      </w:pPr>
    </w:p>
    <w:p w14:paraId="03A65A30" w14:textId="77777777" w:rsidR="003D6056" w:rsidRPr="00910D7B" w:rsidRDefault="003D6056" w:rsidP="003D6056">
      <w:pPr>
        <w:rPr>
          <w:rFonts w:ascii="StobiSerif Regular" w:eastAsia="Calibri" w:hAnsi="StobiSerif Regular" w:cs="Tahoma"/>
          <w:b/>
          <w:bCs/>
          <w:lang w:eastAsia="en-US"/>
        </w:rPr>
      </w:pPr>
      <w:r w:rsidRPr="00910D7B">
        <w:rPr>
          <w:rFonts w:ascii="StobiSerif Regular" w:eastAsia="Calibri" w:hAnsi="StobiSerif Regular" w:cs="Tahoma"/>
          <w:b/>
          <w:bCs/>
          <w:lang w:eastAsia="en-US"/>
        </w:rPr>
        <w:t>3. Согледувања и препораки</w:t>
      </w:r>
    </w:p>
    <w:p w14:paraId="1FDE933E" w14:textId="77777777" w:rsidR="003D6056" w:rsidRDefault="003D6056" w:rsidP="003D6056">
      <w:pPr>
        <w:rPr>
          <w:rFonts w:ascii="StobiSerif Regular" w:eastAsia="Calibri" w:hAnsi="StobiSerif Regular" w:cs="Tahoma"/>
          <w:lang w:eastAsia="en-US"/>
        </w:rPr>
      </w:pPr>
    </w:p>
    <w:p w14:paraId="38C38704" w14:textId="77777777" w:rsidR="003D6056" w:rsidRPr="003A5156" w:rsidRDefault="003D6056" w:rsidP="003D6056">
      <w:pPr>
        <w:rPr>
          <w:rFonts w:ascii="StobiSerif Regular" w:eastAsia="Calibri" w:hAnsi="StobiSerif Regular" w:cs="Tahoma"/>
          <w:lang w:eastAsia="en-US"/>
        </w:rPr>
      </w:pPr>
      <w:proofErr w:type="spellStart"/>
      <w:r w:rsidRPr="003A5156">
        <w:rPr>
          <w:rFonts w:ascii="StobiSerif Regular" w:eastAsia="Calibri" w:hAnsi="StobiSerif Regular" w:cs="Tahoma"/>
          <w:lang w:eastAsia="en-US"/>
        </w:rPr>
        <w:t>Темелено</w:t>
      </w:r>
      <w:proofErr w:type="spellEnd"/>
      <w:r w:rsidRPr="003A5156">
        <w:rPr>
          <w:rFonts w:ascii="StobiSerif Regular" w:eastAsia="Calibri" w:hAnsi="StobiSerif Regular" w:cs="Tahoma"/>
          <w:lang w:eastAsia="en-US"/>
        </w:rPr>
        <w:t xml:space="preserve"> </w:t>
      </w:r>
      <w:r>
        <w:rPr>
          <w:rFonts w:ascii="StobiSerif Regular" w:eastAsia="Calibri" w:hAnsi="StobiSerif Regular" w:cs="Tahoma"/>
          <w:lang w:eastAsia="en-US"/>
        </w:rPr>
        <w:t xml:space="preserve">на показателите, информациите обезбедени од страна на работните подгрупи, </w:t>
      </w:r>
      <w:r w:rsidRPr="003A5156">
        <w:rPr>
          <w:rFonts w:ascii="StobiSerif Regular" w:eastAsia="Calibri" w:hAnsi="StobiSerif Regular" w:cs="Tahoma"/>
          <w:lang w:eastAsia="en-US"/>
        </w:rPr>
        <w:t>независното мерење во рамки на проектот „Поддршка на процесот за спроведување и следење на Националниот акциски план за Партнерство за отворена власт 2021-2023” и</w:t>
      </w:r>
      <w:r>
        <w:rPr>
          <w:rFonts w:ascii="StobiSerif Regular" w:eastAsia="Calibri" w:hAnsi="StobiSerif Regular" w:cs="Tahoma"/>
          <w:lang w:eastAsia="en-US"/>
        </w:rPr>
        <w:t xml:space="preserve"> </w:t>
      </w:r>
      <w:proofErr w:type="spellStart"/>
      <w:r>
        <w:rPr>
          <w:rFonts w:ascii="StobiSerif Regular" w:eastAsia="Calibri" w:hAnsi="StobiSerif Regular" w:cs="Tahoma"/>
          <w:lang w:eastAsia="en-US"/>
        </w:rPr>
        <w:t>и</w:t>
      </w:r>
      <w:proofErr w:type="spellEnd"/>
      <w:r>
        <w:rPr>
          <w:rFonts w:ascii="StobiSerif Regular" w:eastAsia="Calibri" w:hAnsi="StobiSerif Regular" w:cs="Tahoma"/>
          <w:lang w:eastAsia="en-US"/>
        </w:rPr>
        <w:t xml:space="preserve"> искуствата од реализацијата на заложбите </w:t>
      </w:r>
      <w:r w:rsidRPr="003A5156">
        <w:rPr>
          <w:rFonts w:ascii="StobiSerif Regular" w:eastAsia="Calibri" w:hAnsi="StobiSerif Regular" w:cs="Tahoma"/>
          <w:lang w:eastAsia="en-US"/>
        </w:rPr>
        <w:t>може да се заклучи дека:</w:t>
      </w:r>
    </w:p>
    <w:p w14:paraId="401F87F5" w14:textId="77777777" w:rsidR="003D6056" w:rsidRPr="003A5156" w:rsidRDefault="003D6056" w:rsidP="003D6056">
      <w:pPr>
        <w:rPr>
          <w:rFonts w:ascii="StobiSerif Regular" w:eastAsia="Calibri" w:hAnsi="StobiSerif Regular" w:cs="Tahoma"/>
          <w:lang w:eastAsia="en-US"/>
        </w:rPr>
      </w:pPr>
      <w:r w:rsidRPr="003A5156">
        <w:rPr>
          <w:rFonts w:ascii="StobiSerif Regular" w:eastAsia="Calibri" w:hAnsi="StobiSerif Regular" w:cs="Tahoma"/>
          <w:lang w:eastAsia="en-US"/>
        </w:rPr>
        <w:t>- кај најголем дел од заложбите е забележано нивно отпочнување, значителен напредок или нивна целосна реализација</w:t>
      </w:r>
      <w:r>
        <w:rPr>
          <w:rFonts w:ascii="StobiSerif Regular" w:eastAsia="Calibri" w:hAnsi="StobiSerif Regular" w:cs="Tahoma"/>
          <w:lang w:eastAsia="en-US"/>
        </w:rPr>
        <w:t>;</w:t>
      </w:r>
      <w:r w:rsidRPr="003A5156">
        <w:rPr>
          <w:rFonts w:ascii="StobiSerif Regular" w:eastAsia="Calibri" w:hAnsi="StobiSerif Regular" w:cs="Tahoma"/>
          <w:lang w:eastAsia="en-US"/>
        </w:rPr>
        <w:t xml:space="preserve"> </w:t>
      </w:r>
    </w:p>
    <w:p w14:paraId="14AFA43D" w14:textId="77777777" w:rsidR="003D6056" w:rsidRPr="003A5156" w:rsidRDefault="003D6056" w:rsidP="003D6056">
      <w:pPr>
        <w:rPr>
          <w:rFonts w:ascii="StobiSerif Regular" w:eastAsia="Calibri" w:hAnsi="StobiSerif Regular" w:cs="Tahoma"/>
          <w:lang w:eastAsia="en-US"/>
        </w:rPr>
      </w:pPr>
      <w:r w:rsidRPr="003A5156">
        <w:rPr>
          <w:rFonts w:ascii="StobiSerif Regular" w:eastAsia="Calibri" w:hAnsi="StobiSerif Regular" w:cs="Tahoma"/>
          <w:lang w:eastAsia="en-US"/>
        </w:rPr>
        <w:t>-постои мотивираност кај работните групи за навремена реализација</w:t>
      </w:r>
      <w:r>
        <w:rPr>
          <w:rFonts w:ascii="StobiSerif Regular" w:eastAsia="Calibri" w:hAnsi="StobiSerif Regular" w:cs="Tahoma"/>
          <w:lang w:eastAsia="en-US"/>
        </w:rPr>
        <w:t>;</w:t>
      </w:r>
      <w:r w:rsidRPr="003A5156">
        <w:rPr>
          <w:rFonts w:ascii="StobiSerif Regular" w:eastAsia="Calibri" w:hAnsi="StobiSerif Regular" w:cs="Tahoma"/>
          <w:lang w:eastAsia="en-US"/>
        </w:rPr>
        <w:t xml:space="preserve"> </w:t>
      </w:r>
    </w:p>
    <w:p w14:paraId="313C70A8" w14:textId="77777777" w:rsidR="003D6056" w:rsidRDefault="003D6056" w:rsidP="003D6056">
      <w:pPr>
        <w:rPr>
          <w:rFonts w:ascii="StobiSerif Regular" w:eastAsia="Calibri" w:hAnsi="StobiSerif Regular" w:cs="Tahoma"/>
          <w:lang w:eastAsia="en-US"/>
        </w:rPr>
      </w:pPr>
      <w:r w:rsidRPr="003A5156">
        <w:rPr>
          <w:rFonts w:ascii="StobiSerif Regular" w:eastAsia="Calibri" w:hAnsi="StobiSerif Regular" w:cs="Tahoma"/>
          <w:lang w:eastAsia="en-US"/>
        </w:rPr>
        <w:t>-онаму каде е забел</w:t>
      </w:r>
      <w:r>
        <w:rPr>
          <w:rFonts w:ascii="StobiSerif Regular" w:eastAsia="Calibri" w:hAnsi="StobiSerif Regular" w:cs="Tahoma"/>
          <w:lang w:eastAsia="en-US"/>
        </w:rPr>
        <w:t>е</w:t>
      </w:r>
      <w:r w:rsidRPr="003A5156">
        <w:rPr>
          <w:rFonts w:ascii="StobiSerif Regular" w:eastAsia="Calibri" w:hAnsi="StobiSerif Regular" w:cs="Tahoma"/>
          <w:lang w:eastAsia="en-US"/>
        </w:rPr>
        <w:t>жано доцнење во реализација се должи на потребата од реализација на дополнителни (претходно не идентификувани) достигнувања кои најчесто се однесуваат на законодавна интервенција, вклучување на дополнителни институции и во одредени случаи промената на координатори и членови во работните групи.</w:t>
      </w:r>
    </w:p>
    <w:p w14:paraId="76BAB538" w14:textId="77777777" w:rsidR="003D6056" w:rsidRDefault="003D6056" w:rsidP="003D6056">
      <w:pPr>
        <w:rPr>
          <w:rFonts w:ascii="StobiSerif Regular" w:eastAsia="Calibri" w:hAnsi="StobiSerif Regular" w:cs="Tahoma"/>
          <w:lang w:eastAsia="en-US"/>
        </w:rPr>
      </w:pPr>
    </w:p>
    <w:p w14:paraId="335D6814" w14:textId="124F9E9A" w:rsidR="00A52A9A" w:rsidRPr="00E64AE6" w:rsidRDefault="003D6056" w:rsidP="00E64AE6">
      <w:pPr>
        <w:rPr>
          <w:rFonts w:ascii="StobiSerif Regular" w:eastAsia="Calibri" w:hAnsi="StobiSerif Regular" w:cs="Tahoma"/>
          <w:lang w:eastAsia="en-US"/>
        </w:rPr>
      </w:pPr>
      <w:r w:rsidRPr="003A5156">
        <w:rPr>
          <w:rFonts w:ascii="StobiSerif Regular" w:eastAsia="Calibri" w:hAnsi="StobiSerif Regular" w:cs="Tahoma"/>
          <w:lang w:eastAsia="en-US"/>
        </w:rPr>
        <w:t>Во наредниот пер</w:t>
      </w:r>
      <w:r>
        <w:rPr>
          <w:rFonts w:ascii="StobiSerif Regular" w:eastAsia="Calibri" w:hAnsi="StobiSerif Regular" w:cs="Tahoma"/>
          <w:lang w:eastAsia="en-US"/>
        </w:rPr>
        <w:t>и</w:t>
      </w:r>
      <w:r w:rsidRPr="003A5156">
        <w:rPr>
          <w:rFonts w:ascii="StobiSerif Regular" w:eastAsia="Calibri" w:hAnsi="StobiSerif Regular" w:cs="Tahoma"/>
          <w:lang w:eastAsia="en-US"/>
        </w:rPr>
        <w:t>од е очекувано инте</w:t>
      </w:r>
      <w:r>
        <w:rPr>
          <w:rFonts w:ascii="StobiSerif Regular" w:eastAsia="Calibri" w:hAnsi="StobiSerif Regular" w:cs="Tahoma"/>
          <w:lang w:eastAsia="en-US"/>
        </w:rPr>
        <w:t>н</w:t>
      </w:r>
      <w:r w:rsidRPr="003A5156">
        <w:rPr>
          <w:rFonts w:ascii="StobiSerif Regular" w:eastAsia="Calibri" w:hAnsi="StobiSerif Regular" w:cs="Tahoma"/>
          <w:lang w:eastAsia="en-US"/>
        </w:rPr>
        <w:t>зивирање на активностите за спроведување на заложбите, преку обезбедување на соодветни насоки од страна на Советот за ПОВ и Министерството за информатичко општество и администрација и редовни состаноци на работните подгрупи.</w:t>
      </w:r>
    </w:p>
    <w:p w14:paraId="216E84B6" w14:textId="77777777" w:rsidR="00A52A9A" w:rsidRDefault="00A52A9A" w:rsidP="00A52A9A">
      <w:pPr>
        <w:pStyle w:val="BodyText"/>
        <w:tabs>
          <w:tab w:val="left" w:pos="7770"/>
        </w:tabs>
        <w:spacing w:after="0"/>
        <w:rPr>
          <w:b/>
          <w:bCs/>
          <w:sz w:val="22"/>
          <w:szCs w:val="22"/>
        </w:rPr>
      </w:pPr>
    </w:p>
    <w:p w14:paraId="27E5EB7F" w14:textId="77777777" w:rsidR="00A52A9A" w:rsidRDefault="00A52A9A" w:rsidP="00A52A9A">
      <w:pPr>
        <w:pStyle w:val="BodyText"/>
        <w:tabs>
          <w:tab w:val="left" w:pos="7770"/>
        </w:tabs>
        <w:spacing w:after="0"/>
        <w:rPr>
          <w:b/>
          <w:bCs/>
          <w:sz w:val="22"/>
          <w:szCs w:val="22"/>
        </w:rPr>
      </w:pPr>
      <w:r>
        <w:rPr>
          <w:b/>
          <w:bCs/>
          <w:sz w:val="22"/>
          <w:szCs w:val="22"/>
        </w:rPr>
        <w:t xml:space="preserve">                                                                                                                                                ПРИЛОГ 1</w:t>
      </w:r>
    </w:p>
    <w:p w14:paraId="3A883583" w14:textId="77777777" w:rsidR="00A52A9A" w:rsidRDefault="00A52A9A" w:rsidP="00A52A9A">
      <w:pPr>
        <w:pStyle w:val="BodyText"/>
        <w:spacing w:after="0"/>
        <w:rPr>
          <w:b/>
          <w:bCs/>
          <w:sz w:val="22"/>
          <w:szCs w:val="22"/>
        </w:rPr>
      </w:pPr>
    </w:p>
    <w:p w14:paraId="1679BC48" w14:textId="77777777" w:rsidR="00A52A9A" w:rsidRDefault="00A52A9A" w:rsidP="00A52A9A">
      <w:pPr>
        <w:pStyle w:val="BodyText"/>
        <w:spacing w:after="0"/>
        <w:rPr>
          <w:b/>
          <w:bCs/>
          <w:sz w:val="22"/>
          <w:szCs w:val="22"/>
        </w:rPr>
      </w:pPr>
    </w:p>
    <w:p w14:paraId="5738D9E4" w14:textId="77777777" w:rsidR="00A52A9A" w:rsidRDefault="00A52A9A" w:rsidP="00A52A9A">
      <w:pPr>
        <w:pStyle w:val="BodyText"/>
        <w:spacing w:after="0"/>
        <w:rPr>
          <w:b/>
          <w:bCs/>
          <w:sz w:val="22"/>
          <w:szCs w:val="22"/>
        </w:rPr>
      </w:pPr>
    </w:p>
    <w:p w14:paraId="3B0BE176" w14:textId="77777777" w:rsidR="00A52A9A" w:rsidRDefault="00A52A9A" w:rsidP="00A52A9A">
      <w:pPr>
        <w:pStyle w:val="BodyText"/>
        <w:spacing w:after="0"/>
        <w:rPr>
          <w:b/>
          <w:bCs/>
          <w:sz w:val="22"/>
          <w:szCs w:val="22"/>
        </w:rPr>
      </w:pPr>
    </w:p>
    <w:p w14:paraId="51D53958" w14:textId="77777777" w:rsidR="00A52A9A" w:rsidRPr="0023145E" w:rsidRDefault="00A52A9A" w:rsidP="00A52A9A">
      <w:pPr>
        <w:pStyle w:val="BodyText"/>
        <w:spacing w:after="0"/>
        <w:rPr>
          <w:b/>
          <w:bCs/>
          <w:sz w:val="22"/>
          <w:szCs w:val="22"/>
        </w:rPr>
      </w:pPr>
      <w:r w:rsidRPr="0023145E">
        <w:rPr>
          <w:b/>
          <w:bCs/>
          <w:sz w:val="22"/>
          <w:szCs w:val="22"/>
        </w:rPr>
        <w:t>Табела 1. Збирен приказ на ниво на реализација за секој поединечен приоритет од Акцискиот план 20</w:t>
      </w:r>
      <w:r w:rsidRPr="0023145E">
        <w:rPr>
          <w:b/>
          <w:bCs/>
          <w:sz w:val="22"/>
          <w:szCs w:val="22"/>
          <w:lang w:val="en-US"/>
        </w:rPr>
        <w:t>21</w:t>
      </w:r>
      <w:r w:rsidRPr="0023145E">
        <w:rPr>
          <w:b/>
          <w:bCs/>
          <w:sz w:val="22"/>
          <w:szCs w:val="22"/>
        </w:rPr>
        <w:t>-202</w:t>
      </w:r>
      <w:r w:rsidRPr="0023145E">
        <w:rPr>
          <w:b/>
          <w:bCs/>
          <w:sz w:val="22"/>
          <w:szCs w:val="22"/>
          <w:lang w:val="en-US"/>
        </w:rPr>
        <w:t>3</w:t>
      </w:r>
      <w:r w:rsidRPr="0023145E">
        <w:rPr>
          <w:b/>
          <w:bCs/>
          <w:sz w:val="22"/>
          <w:szCs w:val="22"/>
        </w:rPr>
        <w:t xml:space="preserve"> година</w:t>
      </w:r>
    </w:p>
    <w:p w14:paraId="7C05B7C3" w14:textId="77777777" w:rsidR="00A52A9A" w:rsidRDefault="00A52A9A" w:rsidP="00A52A9A">
      <w:pPr>
        <w:pStyle w:val="BodyText"/>
        <w:spacing w:after="0"/>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5" w:type="dxa"/>
          <w:bottom w:w="28" w:type="dxa"/>
          <w:right w:w="115" w:type="dxa"/>
        </w:tblCellMar>
        <w:tblLook w:val="0000" w:firstRow="0" w:lastRow="0" w:firstColumn="0" w:lastColumn="0" w:noHBand="0" w:noVBand="0"/>
      </w:tblPr>
      <w:tblGrid>
        <w:gridCol w:w="5911"/>
        <w:gridCol w:w="495"/>
        <w:gridCol w:w="495"/>
        <w:gridCol w:w="491"/>
        <w:gridCol w:w="492"/>
        <w:gridCol w:w="1326"/>
      </w:tblGrid>
      <w:tr w:rsidR="00A52A9A" w14:paraId="6B1B6102" w14:textId="77777777" w:rsidTr="00880D6C">
        <w:tc>
          <w:tcPr>
            <w:tcW w:w="5911" w:type="dxa"/>
            <w:shd w:val="clear" w:color="auto" w:fill="2E74B5"/>
          </w:tcPr>
          <w:p w14:paraId="0267A908" w14:textId="77777777" w:rsidR="00A52A9A" w:rsidRDefault="00A52A9A" w:rsidP="00A86A0C">
            <w:pPr>
              <w:pStyle w:val="TableContents"/>
              <w:jc w:val="center"/>
            </w:pPr>
            <w:r>
              <w:rPr>
                <w:b/>
                <w:sz w:val="20"/>
              </w:rPr>
              <w:t>ПРИОРИТЕТ /ЗАЛОЖБА</w:t>
            </w:r>
          </w:p>
        </w:tc>
        <w:tc>
          <w:tcPr>
            <w:tcW w:w="1973" w:type="dxa"/>
            <w:gridSpan w:val="4"/>
            <w:shd w:val="clear" w:color="auto" w:fill="2E74B5"/>
          </w:tcPr>
          <w:p w14:paraId="5DCC4EAD" w14:textId="77777777" w:rsidR="00A52A9A" w:rsidRDefault="00A52A9A" w:rsidP="00A86A0C">
            <w:pPr>
              <w:pStyle w:val="TableContents"/>
              <w:jc w:val="center"/>
            </w:pPr>
            <w:r>
              <w:rPr>
                <w:b/>
                <w:sz w:val="20"/>
              </w:rPr>
              <w:t>НИВО НА РЕАЛИЗАЦИЈА</w:t>
            </w:r>
          </w:p>
        </w:tc>
        <w:tc>
          <w:tcPr>
            <w:tcW w:w="1326" w:type="dxa"/>
            <w:shd w:val="clear" w:color="auto" w:fill="2E74B5"/>
          </w:tcPr>
          <w:p w14:paraId="01F33A97" w14:textId="77777777" w:rsidR="00A52A9A" w:rsidRDefault="00A52A9A" w:rsidP="00A86A0C">
            <w:pPr>
              <w:pStyle w:val="TableContents"/>
              <w:jc w:val="center"/>
            </w:pPr>
            <w:r>
              <w:rPr>
                <w:b/>
                <w:sz w:val="20"/>
              </w:rPr>
              <w:t>КРАЕН ДАТУМ</w:t>
            </w:r>
          </w:p>
        </w:tc>
      </w:tr>
      <w:tr w:rsidR="00A52A9A" w14:paraId="2B2388AC" w14:textId="77777777" w:rsidTr="00880D6C">
        <w:trPr>
          <w:trHeight w:val="2647"/>
        </w:trPr>
        <w:tc>
          <w:tcPr>
            <w:tcW w:w="5911" w:type="dxa"/>
            <w:shd w:val="clear" w:color="auto" w:fill="F2F2F2"/>
          </w:tcPr>
          <w:p w14:paraId="146585BD" w14:textId="77777777" w:rsidR="00A52A9A" w:rsidRDefault="00A52A9A" w:rsidP="00A86A0C">
            <w:pPr>
              <w:pStyle w:val="TableContents"/>
              <w:spacing w:after="0"/>
              <w:jc w:val="both"/>
            </w:pPr>
          </w:p>
          <w:p w14:paraId="15C85F62" w14:textId="77777777" w:rsidR="00A52A9A" w:rsidRDefault="00A52A9A" w:rsidP="00A86A0C">
            <w:pPr>
              <w:pStyle w:val="TableContents"/>
              <w:spacing w:after="0"/>
              <w:jc w:val="both"/>
            </w:pPr>
          </w:p>
          <w:p w14:paraId="42FFDD29" w14:textId="77777777" w:rsidR="00A52A9A" w:rsidRDefault="00A52A9A" w:rsidP="00A86A0C">
            <w:pPr>
              <w:pStyle w:val="TableContents"/>
              <w:spacing w:after="0"/>
              <w:jc w:val="both"/>
            </w:pPr>
          </w:p>
          <w:p w14:paraId="6CD44E53" w14:textId="77777777" w:rsidR="00A52A9A" w:rsidRDefault="00A52A9A" w:rsidP="00A86A0C">
            <w:pPr>
              <w:pStyle w:val="TableContents"/>
              <w:spacing w:after="0"/>
              <w:jc w:val="both"/>
            </w:pPr>
          </w:p>
          <w:p w14:paraId="27CDBD97" w14:textId="77777777" w:rsidR="00A52A9A" w:rsidRDefault="00A52A9A" w:rsidP="00A86A0C">
            <w:pPr>
              <w:pStyle w:val="TableContents"/>
              <w:spacing w:after="0"/>
              <w:jc w:val="both"/>
            </w:pPr>
          </w:p>
          <w:p w14:paraId="1AEF1204" w14:textId="77777777" w:rsidR="00A52A9A" w:rsidRDefault="00A52A9A" w:rsidP="00A86A0C">
            <w:pPr>
              <w:pStyle w:val="TableContents"/>
              <w:spacing w:after="0"/>
              <w:jc w:val="both"/>
            </w:pPr>
          </w:p>
          <w:p w14:paraId="6092D3DB" w14:textId="77777777" w:rsidR="00A52A9A" w:rsidRDefault="00A52A9A" w:rsidP="00A86A0C">
            <w:pPr>
              <w:pStyle w:val="TableContents"/>
              <w:spacing w:after="0"/>
              <w:jc w:val="both"/>
            </w:pPr>
          </w:p>
          <w:p w14:paraId="7BD65F6F" w14:textId="77777777" w:rsidR="00A52A9A" w:rsidRDefault="00A52A9A" w:rsidP="00A86A0C">
            <w:pPr>
              <w:pStyle w:val="TableContents"/>
              <w:jc w:val="both"/>
            </w:pPr>
          </w:p>
        </w:tc>
        <w:tc>
          <w:tcPr>
            <w:tcW w:w="495" w:type="dxa"/>
            <w:shd w:val="clear" w:color="auto" w:fill="EEECE1"/>
          </w:tcPr>
          <w:p w14:paraId="6A180E39" w14:textId="77777777" w:rsidR="00A52A9A" w:rsidRDefault="00A52A9A" w:rsidP="00A86A0C">
            <w:pPr>
              <w:pStyle w:val="TableContents"/>
              <w:spacing w:after="0"/>
              <w:jc w:val="both"/>
            </w:pPr>
            <w:r>
              <w:rPr>
                <w:b/>
                <w:sz w:val="16"/>
              </w:rPr>
              <w:t>Н</w:t>
            </w:r>
          </w:p>
          <w:p w14:paraId="37E685F0" w14:textId="77777777" w:rsidR="00A52A9A" w:rsidRDefault="00A52A9A" w:rsidP="00A86A0C">
            <w:pPr>
              <w:pStyle w:val="TableContents"/>
              <w:spacing w:after="0"/>
              <w:jc w:val="both"/>
            </w:pPr>
            <w:r>
              <w:rPr>
                <w:b/>
                <w:sz w:val="16"/>
              </w:rPr>
              <w:t>Е</w:t>
            </w:r>
          </w:p>
          <w:p w14:paraId="21AD0AE0" w14:textId="77777777" w:rsidR="00A52A9A" w:rsidRDefault="00A52A9A" w:rsidP="00A86A0C">
            <w:pPr>
              <w:pStyle w:val="TableContents"/>
              <w:spacing w:after="0"/>
              <w:jc w:val="both"/>
            </w:pPr>
            <w:r>
              <w:rPr>
                <w:b/>
                <w:sz w:val="16"/>
              </w:rPr>
              <w:t>З</w:t>
            </w:r>
          </w:p>
          <w:p w14:paraId="0687002E" w14:textId="77777777" w:rsidR="00A52A9A" w:rsidRDefault="00A52A9A" w:rsidP="00A86A0C">
            <w:pPr>
              <w:pStyle w:val="TableContents"/>
              <w:spacing w:after="0"/>
              <w:jc w:val="both"/>
            </w:pPr>
            <w:r>
              <w:rPr>
                <w:b/>
                <w:sz w:val="16"/>
              </w:rPr>
              <w:t>А</w:t>
            </w:r>
          </w:p>
          <w:p w14:paraId="041E9F29" w14:textId="77777777" w:rsidR="00A52A9A" w:rsidRDefault="00A52A9A" w:rsidP="00A86A0C">
            <w:pPr>
              <w:pStyle w:val="TableContents"/>
              <w:spacing w:after="0"/>
              <w:jc w:val="both"/>
            </w:pPr>
            <w:r>
              <w:rPr>
                <w:b/>
                <w:sz w:val="16"/>
              </w:rPr>
              <w:t>П</w:t>
            </w:r>
          </w:p>
          <w:p w14:paraId="25CC8F15" w14:textId="77777777" w:rsidR="00A52A9A" w:rsidRDefault="00A52A9A" w:rsidP="00A86A0C">
            <w:pPr>
              <w:pStyle w:val="TableContents"/>
              <w:spacing w:after="0"/>
              <w:jc w:val="both"/>
            </w:pPr>
            <w:r>
              <w:rPr>
                <w:b/>
                <w:sz w:val="16"/>
              </w:rPr>
              <w:t>О</w:t>
            </w:r>
          </w:p>
          <w:p w14:paraId="3399F265" w14:textId="77777777" w:rsidR="00A52A9A" w:rsidRDefault="00A52A9A" w:rsidP="00A86A0C">
            <w:pPr>
              <w:pStyle w:val="TableContents"/>
              <w:spacing w:after="0"/>
              <w:jc w:val="both"/>
            </w:pPr>
            <w:r>
              <w:rPr>
                <w:b/>
                <w:sz w:val="16"/>
              </w:rPr>
              <w:t>Ч</w:t>
            </w:r>
          </w:p>
          <w:p w14:paraId="33F4D765" w14:textId="77777777" w:rsidR="00A52A9A" w:rsidRDefault="00A52A9A" w:rsidP="00A86A0C">
            <w:pPr>
              <w:pStyle w:val="TableContents"/>
              <w:spacing w:after="0"/>
              <w:jc w:val="both"/>
            </w:pPr>
            <w:r>
              <w:rPr>
                <w:b/>
                <w:sz w:val="16"/>
              </w:rPr>
              <w:t>Н</w:t>
            </w:r>
          </w:p>
          <w:p w14:paraId="52F81B33" w14:textId="77777777" w:rsidR="00A52A9A" w:rsidRDefault="00A52A9A" w:rsidP="00A86A0C">
            <w:pPr>
              <w:pStyle w:val="TableContents"/>
              <w:spacing w:after="0"/>
              <w:jc w:val="both"/>
            </w:pPr>
            <w:r>
              <w:rPr>
                <w:b/>
                <w:sz w:val="16"/>
              </w:rPr>
              <w:t>А</w:t>
            </w:r>
          </w:p>
          <w:p w14:paraId="133867BF" w14:textId="77777777" w:rsidR="00A52A9A" w:rsidRDefault="00A52A9A" w:rsidP="00A86A0C">
            <w:pPr>
              <w:pStyle w:val="TableContents"/>
              <w:spacing w:after="0"/>
              <w:jc w:val="both"/>
            </w:pPr>
            <w:r>
              <w:rPr>
                <w:b/>
                <w:sz w:val="16"/>
              </w:rPr>
              <w:t>Т</w:t>
            </w:r>
          </w:p>
          <w:p w14:paraId="75F0B34B" w14:textId="77777777" w:rsidR="00A52A9A" w:rsidRDefault="00A52A9A" w:rsidP="00A86A0C">
            <w:pPr>
              <w:pStyle w:val="TableContents"/>
              <w:jc w:val="both"/>
            </w:pPr>
            <w:r>
              <w:rPr>
                <w:b/>
                <w:sz w:val="16"/>
              </w:rPr>
              <w:t>A</w:t>
            </w:r>
          </w:p>
        </w:tc>
        <w:tc>
          <w:tcPr>
            <w:tcW w:w="495" w:type="dxa"/>
            <w:shd w:val="clear" w:color="auto" w:fill="EEECE1"/>
          </w:tcPr>
          <w:p w14:paraId="2E1B4B32" w14:textId="77777777" w:rsidR="00A52A9A" w:rsidRDefault="00A52A9A" w:rsidP="00A86A0C">
            <w:pPr>
              <w:pStyle w:val="TableContents"/>
              <w:spacing w:after="0"/>
              <w:jc w:val="both"/>
            </w:pPr>
            <w:r>
              <w:rPr>
                <w:b/>
                <w:sz w:val="16"/>
              </w:rPr>
              <w:t>О</w:t>
            </w:r>
          </w:p>
          <w:p w14:paraId="682075E2" w14:textId="77777777" w:rsidR="00A52A9A" w:rsidRDefault="00A52A9A" w:rsidP="00A86A0C">
            <w:pPr>
              <w:pStyle w:val="TableContents"/>
              <w:spacing w:after="0"/>
              <w:jc w:val="both"/>
            </w:pPr>
            <w:r>
              <w:rPr>
                <w:b/>
                <w:sz w:val="16"/>
              </w:rPr>
              <w:t>Г</w:t>
            </w:r>
          </w:p>
          <w:p w14:paraId="40574C33" w14:textId="77777777" w:rsidR="00A52A9A" w:rsidRDefault="00A52A9A" w:rsidP="00A86A0C">
            <w:pPr>
              <w:pStyle w:val="TableContents"/>
              <w:spacing w:after="0"/>
              <w:jc w:val="both"/>
            </w:pPr>
            <w:r>
              <w:rPr>
                <w:b/>
                <w:sz w:val="16"/>
              </w:rPr>
              <w:t>Р</w:t>
            </w:r>
          </w:p>
          <w:p w14:paraId="701305FC" w14:textId="77777777" w:rsidR="00A52A9A" w:rsidRDefault="00A52A9A" w:rsidP="00A86A0C">
            <w:pPr>
              <w:pStyle w:val="TableContents"/>
              <w:spacing w:after="0"/>
              <w:jc w:val="both"/>
            </w:pPr>
            <w:r>
              <w:rPr>
                <w:b/>
                <w:sz w:val="16"/>
              </w:rPr>
              <w:t>А</w:t>
            </w:r>
          </w:p>
          <w:p w14:paraId="24D97D00" w14:textId="77777777" w:rsidR="00A52A9A" w:rsidRDefault="00A52A9A" w:rsidP="00A86A0C">
            <w:pPr>
              <w:pStyle w:val="TableContents"/>
              <w:spacing w:after="0"/>
              <w:jc w:val="both"/>
            </w:pPr>
            <w:r>
              <w:rPr>
                <w:b/>
                <w:sz w:val="16"/>
              </w:rPr>
              <w:t>Н</w:t>
            </w:r>
          </w:p>
          <w:p w14:paraId="469D2491" w14:textId="77777777" w:rsidR="00A52A9A" w:rsidRDefault="00A52A9A" w:rsidP="00A86A0C">
            <w:pPr>
              <w:pStyle w:val="TableContents"/>
              <w:spacing w:after="0"/>
              <w:jc w:val="both"/>
            </w:pPr>
            <w:r>
              <w:rPr>
                <w:b/>
                <w:sz w:val="16"/>
              </w:rPr>
              <w:t>И</w:t>
            </w:r>
          </w:p>
          <w:p w14:paraId="1590B807" w14:textId="77777777" w:rsidR="00A52A9A" w:rsidRDefault="00A52A9A" w:rsidP="00A86A0C">
            <w:pPr>
              <w:pStyle w:val="TableContents"/>
              <w:spacing w:after="0"/>
              <w:jc w:val="both"/>
            </w:pPr>
            <w:r>
              <w:rPr>
                <w:b/>
                <w:sz w:val="16"/>
              </w:rPr>
              <w:t>Ч</w:t>
            </w:r>
          </w:p>
          <w:p w14:paraId="6BF0A6DA" w14:textId="77777777" w:rsidR="00A52A9A" w:rsidRDefault="00A52A9A" w:rsidP="00A86A0C">
            <w:pPr>
              <w:pStyle w:val="TableContents"/>
              <w:spacing w:after="0"/>
              <w:jc w:val="both"/>
            </w:pPr>
            <w:r>
              <w:rPr>
                <w:b/>
                <w:sz w:val="16"/>
              </w:rPr>
              <w:t>Е</w:t>
            </w:r>
          </w:p>
          <w:p w14:paraId="0A3DEFE3" w14:textId="77777777" w:rsidR="00A52A9A" w:rsidRDefault="00A52A9A" w:rsidP="00A86A0C">
            <w:pPr>
              <w:pStyle w:val="TableContents"/>
              <w:spacing w:after="0"/>
              <w:jc w:val="both"/>
            </w:pPr>
            <w:r>
              <w:rPr>
                <w:b/>
                <w:sz w:val="16"/>
              </w:rPr>
              <w:t>Н</w:t>
            </w:r>
          </w:p>
          <w:p w14:paraId="05288028" w14:textId="77777777" w:rsidR="00A52A9A" w:rsidRDefault="00A52A9A" w:rsidP="00A86A0C">
            <w:pPr>
              <w:pStyle w:val="TableContents"/>
              <w:jc w:val="both"/>
            </w:pPr>
            <w:r>
              <w:rPr>
                <w:b/>
                <w:sz w:val="16"/>
              </w:rPr>
              <w:t>A</w:t>
            </w:r>
          </w:p>
        </w:tc>
        <w:tc>
          <w:tcPr>
            <w:tcW w:w="491" w:type="dxa"/>
            <w:shd w:val="clear" w:color="auto" w:fill="EEECE1"/>
          </w:tcPr>
          <w:p w14:paraId="7DC923D8" w14:textId="77777777" w:rsidR="00A52A9A" w:rsidRDefault="00A52A9A" w:rsidP="00A86A0C">
            <w:pPr>
              <w:pStyle w:val="TableContents"/>
              <w:spacing w:after="0"/>
              <w:jc w:val="both"/>
            </w:pPr>
            <w:r>
              <w:rPr>
                <w:b/>
                <w:sz w:val="16"/>
              </w:rPr>
              <w:t>З</w:t>
            </w:r>
          </w:p>
          <w:p w14:paraId="287100D8" w14:textId="77777777" w:rsidR="00A52A9A" w:rsidRDefault="00A52A9A" w:rsidP="00A86A0C">
            <w:pPr>
              <w:pStyle w:val="TableContents"/>
              <w:spacing w:after="0"/>
              <w:jc w:val="both"/>
            </w:pPr>
            <w:r>
              <w:rPr>
                <w:b/>
                <w:sz w:val="16"/>
              </w:rPr>
              <w:t>Н</w:t>
            </w:r>
          </w:p>
          <w:p w14:paraId="123A1D30" w14:textId="77777777" w:rsidR="00A52A9A" w:rsidRDefault="00A52A9A" w:rsidP="00A86A0C">
            <w:pPr>
              <w:pStyle w:val="TableContents"/>
              <w:spacing w:after="0"/>
              <w:jc w:val="both"/>
            </w:pPr>
            <w:r>
              <w:rPr>
                <w:b/>
                <w:sz w:val="16"/>
              </w:rPr>
              <w:t>А</w:t>
            </w:r>
          </w:p>
          <w:p w14:paraId="5A7E6F30" w14:textId="77777777" w:rsidR="00A52A9A" w:rsidRDefault="00A52A9A" w:rsidP="00A86A0C">
            <w:pPr>
              <w:pStyle w:val="TableContents"/>
              <w:spacing w:after="0"/>
              <w:jc w:val="both"/>
            </w:pPr>
            <w:r>
              <w:rPr>
                <w:b/>
                <w:sz w:val="16"/>
              </w:rPr>
              <w:t>Ч</w:t>
            </w:r>
          </w:p>
          <w:p w14:paraId="3F7C597B" w14:textId="77777777" w:rsidR="00A52A9A" w:rsidRDefault="00A52A9A" w:rsidP="00A86A0C">
            <w:pPr>
              <w:pStyle w:val="TableContents"/>
              <w:spacing w:after="0"/>
              <w:jc w:val="both"/>
            </w:pPr>
            <w:r>
              <w:rPr>
                <w:b/>
                <w:sz w:val="16"/>
              </w:rPr>
              <w:t>И</w:t>
            </w:r>
          </w:p>
          <w:p w14:paraId="2081A3BE" w14:textId="77777777" w:rsidR="00A52A9A" w:rsidRDefault="00A52A9A" w:rsidP="00A86A0C">
            <w:pPr>
              <w:pStyle w:val="TableContents"/>
              <w:spacing w:after="0"/>
              <w:jc w:val="both"/>
            </w:pPr>
            <w:r>
              <w:rPr>
                <w:b/>
                <w:sz w:val="16"/>
              </w:rPr>
              <w:t>Т</w:t>
            </w:r>
          </w:p>
          <w:p w14:paraId="2873849F" w14:textId="77777777" w:rsidR="00A52A9A" w:rsidRDefault="00A52A9A" w:rsidP="00A86A0C">
            <w:pPr>
              <w:pStyle w:val="TableContents"/>
              <w:spacing w:after="0"/>
              <w:jc w:val="both"/>
            </w:pPr>
            <w:r>
              <w:rPr>
                <w:b/>
                <w:sz w:val="16"/>
              </w:rPr>
              <w:t>Е</w:t>
            </w:r>
          </w:p>
          <w:p w14:paraId="72B37E02" w14:textId="77777777" w:rsidR="00A52A9A" w:rsidRDefault="00A52A9A" w:rsidP="00A86A0C">
            <w:pPr>
              <w:pStyle w:val="TableContents"/>
              <w:spacing w:after="0"/>
              <w:jc w:val="both"/>
            </w:pPr>
            <w:r>
              <w:rPr>
                <w:b/>
                <w:sz w:val="16"/>
              </w:rPr>
              <w:t>Л</w:t>
            </w:r>
          </w:p>
          <w:p w14:paraId="6AF6000B" w14:textId="77777777" w:rsidR="00A52A9A" w:rsidRDefault="00A52A9A" w:rsidP="00A86A0C">
            <w:pPr>
              <w:pStyle w:val="TableContents"/>
              <w:spacing w:after="0"/>
              <w:jc w:val="both"/>
            </w:pPr>
            <w:r>
              <w:rPr>
                <w:b/>
                <w:sz w:val="16"/>
              </w:rPr>
              <w:t>Н</w:t>
            </w:r>
          </w:p>
          <w:p w14:paraId="7A6CA6CB" w14:textId="77777777" w:rsidR="00A52A9A" w:rsidRDefault="00A52A9A" w:rsidP="00A86A0C">
            <w:pPr>
              <w:pStyle w:val="TableContents"/>
              <w:jc w:val="both"/>
            </w:pPr>
            <w:r>
              <w:rPr>
                <w:b/>
                <w:sz w:val="16"/>
              </w:rPr>
              <w:t>A</w:t>
            </w:r>
          </w:p>
        </w:tc>
        <w:tc>
          <w:tcPr>
            <w:tcW w:w="492" w:type="dxa"/>
            <w:shd w:val="clear" w:color="auto" w:fill="EEECE1"/>
          </w:tcPr>
          <w:p w14:paraId="3547C33E" w14:textId="77777777" w:rsidR="00A52A9A" w:rsidRDefault="00A52A9A" w:rsidP="00A86A0C">
            <w:pPr>
              <w:pStyle w:val="TableContents"/>
              <w:spacing w:after="0"/>
              <w:jc w:val="both"/>
            </w:pPr>
            <w:r>
              <w:rPr>
                <w:b/>
                <w:sz w:val="16"/>
              </w:rPr>
              <w:t>З</w:t>
            </w:r>
          </w:p>
          <w:p w14:paraId="1D19E0FD" w14:textId="77777777" w:rsidR="00A52A9A" w:rsidRDefault="00A52A9A" w:rsidP="00A86A0C">
            <w:pPr>
              <w:pStyle w:val="TableContents"/>
              <w:spacing w:after="0"/>
              <w:jc w:val="both"/>
            </w:pPr>
            <w:r>
              <w:rPr>
                <w:b/>
                <w:sz w:val="16"/>
              </w:rPr>
              <w:t>А</w:t>
            </w:r>
          </w:p>
          <w:p w14:paraId="04D91DFC" w14:textId="77777777" w:rsidR="00A52A9A" w:rsidRDefault="00A52A9A" w:rsidP="00A86A0C">
            <w:pPr>
              <w:pStyle w:val="TableContents"/>
              <w:spacing w:after="0"/>
              <w:jc w:val="both"/>
            </w:pPr>
            <w:r>
              <w:rPr>
                <w:b/>
                <w:sz w:val="16"/>
              </w:rPr>
              <w:t>В</w:t>
            </w:r>
          </w:p>
          <w:p w14:paraId="185FF862" w14:textId="77777777" w:rsidR="00A52A9A" w:rsidRDefault="00A52A9A" w:rsidP="00A86A0C">
            <w:pPr>
              <w:pStyle w:val="TableContents"/>
              <w:spacing w:after="0"/>
              <w:jc w:val="both"/>
            </w:pPr>
            <w:r>
              <w:rPr>
                <w:b/>
                <w:sz w:val="16"/>
              </w:rPr>
              <w:t>Р</w:t>
            </w:r>
          </w:p>
          <w:p w14:paraId="34C8850B" w14:textId="77777777" w:rsidR="00A52A9A" w:rsidRDefault="00A52A9A" w:rsidP="00A86A0C">
            <w:pPr>
              <w:pStyle w:val="TableContents"/>
              <w:spacing w:after="0"/>
              <w:jc w:val="both"/>
            </w:pPr>
            <w:r>
              <w:rPr>
                <w:b/>
                <w:sz w:val="16"/>
              </w:rPr>
              <w:t>Ш</w:t>
            </w:r>
          </w:p>
          <w:p w14:paraId="0BA4CEBE" w14:textId="77777777" w:rsidR="00A52A9A" w:rsidRDefault="00A52A9A" w:rsidP="00A86A0C">
            <w:pPr>
              <w:pStyle w:val="TableContents"/>
              <w:spacing w:after="0"/>
              <w:jc w:val="both"/>
            </w:pPr>
            <w:r>
              <w:rPr>
                <w:b/>
                <w:sz w:val="16"/>
              </w:rPr>
              <w:t>Е</w:t>
            </w:r>
          </w:p>
          <w:p w14:paraId="4C9BF709" w14:textId="77777777" w:rsidR="00A52A9A" w:rsidRDefault="00A52A9A" w:rsidP="00A86A0C">
            <w:pPr>
              <w:pStyle w:val="TableContents"/>
              <w:spacing w:after="0"/>
              <w:jc w:val="both"/>
            </w:pPr>
            <w:r>
              <w:rPr>
                <w:b/>
                <w:sz w:val="16"/>
              </w:rPr>
              <w:t>Н</w:t>
            </w:r>
          </w:p>
          <w:p w14:paraId="1660EDF6" w14:textId="77777777" w:rsidR="00A52A9A" w:rsidRDefault="00A52A9A" w:rsidP="00A86A0C">
            <w:pPr>
              <w:pStyle w:val="TableContents"/>
              <w:jc w:val="both"/>
            </w:pPr>
            <w:r>
              <w:rPr>
                <w:b/>
                <w:sz w:val="16"/>
              </w:rPr>
              <w:t>A</w:t>
            </w:r>
          </w:p>
        </w:tc>
        <w:tc>
          <w:tcPr>
            <w:tcW w:w="1326" w:type="dxa"/>
            <w:shd w:val="clear" w:color="auto" w:fill="F2F2F2"/>
          </w:tcPr>
          <w:p w14:paraId="1F95BA1B" w14:textId="77777777" w:rsidR="00A52A9A" w:rsidRDefault="00A52A9A" w:rsidP="00A86A0C">
            <w:pPr>
              <w:pStyle w:val="TableContents"/>
              <w:spacing w:after="0"/>
              <w:jc w:val="both"/>
            </w:pPr>
          </w:p>
          <w:p w14:paraId="4E115914" w14:textId="77777777" w:rsidR="00A52A9A" w:rsidRDefault="00A52A9A" w:rsidP="00A86A0C">
            <w:pPr>
              <w:pStyle w:val="TableContents"/>
              <w:spacing w:after="0"/>
              <w:jc w:val="both"/>
            </w:pPr>
          </w:p>
          <w:p w14:paraId="0A9321BF" w14:textId="77777777" w:rsidR="00A52A9A" w:rsidRDefault="00A52A9A" w:rsidP="00A86A0C">
            <w:pPr>
              <w:pStyle w:val="TableContents"/>
              <w:spacing w:after="0"/>
              <w:jc w:val="both"/>
            </w:pPr>
          </w:p>
          <w:p w14:paraId="498248D2" w14:textId="77777777" w:rsidR="00A52A9A" w:rsidRDefault="00A52A9A" w:rsidP="00A86A0C">
            <w:pPr>
              <w:pStyle w:val="TableContents"/>
              <w:spacing w:after="0"/>
              <w:jc w:val="both"/>
            </w:pPr>
          </w:p>
          <w:p w14:paraId="26306F1E" w14:textId="77777777" w:rsidR="00A52A9A" w:rsidRDefault="00A52A9A" w:rsidP="00A86A0C">
            <w:pPr>
              <w:pStyle w:val="TableContents"/>
              <w:jc w:val="both"/>
            </w:pPr>
          </w:p>
        </w:tc>
      </w:tr>
      <w:tr w:rsidR="00A52A9A" w14:paraId="22A2D650" w14:textId="77777777" w:rsidTr="00880D6C">
        <w:tblPrEx>
          <w:tblCellMar>
            <w:left w:w="0" w:type="dxa"/>
          </w:tblCellMar>
        </w:tblPrEx>
        <w:tc>
          <w:tcPr>
            <w:tcW w:w="5911" w:type="dxa"/>
            <w:shd w:val="clear" w:color="auto" w:fill="DDD9C3"/>
          </w:tcPr>
          <w:p w14:paraId="0D3EFFDC" w14:textId="77777777" w:rsidR="00A52A9A" w:rsidRDefault="00A52A9A" w:rsidP="00A86A0C">
            <w:pPr>
              <w:pStyle w:val="TableContents"/>
              <w:jc w:val="both"/>
            </w:pPr>
            <w:r>
              <w:rPr>
                <w:b/>
                <w:sz w:val="20"/>
              </w:rPr>
              <w:t xml:space="preserve">1. Транспарентност, отчетност, </w:t>
            </w:r>
            <w:proofErr w:type="spellStart"/>
            <w:r>
              <w:rPr>
                <w:b/>
                <w:sz w:val="20"/>
              </w:rPr>
              <w:t>проактивност</w:t>
            </w:r>
            <w:proofErr w:type="spellEnd"/>
            <w:r>
              <w:rPr>
                <w:b/>
                <w:sz w:val="20"/>
              </w:rPr>
              <w:t xml:space="preserve"> и инклузивност</w:t>
            </w:r>
          </w:p>
        </w:tc>
        <w:tc>
          <w:tcPr>
            <w:tcW w:w="1973" w:type="dxa"/>
            <w:gridSpan w:val="4"/>
            <w:shd w:val="clear" w:color="auto" w:fill="DDD9C3"/>
          </w:tcPr>
          <w:p w14:paraId="44EA5870" w14:textId="77777777" w:rsidR="00A52A9A" w:rsidRDefault="00A52A9A" w:rsidP="00A86A0C">
            <w:pPr>
              <w:pStyle w:val="TableContents"/>
              <w:jc w:val="both"/>
            </w:pPr>
          </w:p>
        </w:tc>
        <w:tc>
          <w:tcPr>
            <w:tcW w:w="1326" w:type="dxa"/>
            <w:shd w:val="clear" w:color="auto" w:fill="DDD9C3"/>
          </w:tcPr>
          <w:p w14:paraId="6D4F9F65" w14:textId="77777777" w:rsidR="00A52A9A" w:rsidRDefault="00A52A9A" w:rsidP="00A86A0C">
            <w:pPr>
              <w:pStyle w:val="TableContents"/>
              <w:jc w:val="both"/>
            </w:pPr>
          </w:p>
        </w:tc>
      </w:tr>
      <w:tr w:rsidR="00A52A9A" w14:paraId="1416F458" w14:textId="77777777" w:rsidTr="00880D6C">
        <w:trPr>
          <w:trHeight w:val="735"/>
        </w:trPr>
        <w:tc>
          <w:tcPr>
            <w:tcW w:w="5911" w:type="dxa"/>
            <w:shd w:val="clear" w:color="auto" w:fill="FFFFFF"/>
          </w:tcPr>
          <w:p w14:paraId="5C046ED6" w14:textId="77777777" w:rsidR="00A52A9A" w:rsidRDefault="00A52A9A" w:rsidP="00A86A0C">
            <w:pPr>
              <w:pStyle w:val="TableContents"/>
              <w:jc w:val="both"/>
            </w:pPr>
            <w:r>
              <w:rPr>
                <w:sz w:val="20"/>
                <w:lang w:val="en-US"/>
              </w:rPr>
              <w:t xml:space="preserve">1.1 </w:t>
            </w:r>
            <w:proofErr w:type="spellStart"/>
            <w:r>
              <w:rPr>
                <w:sz w:val="20"/>
                <w:lang w:val="en-US"/>
              </w:rPr>
              <w:t>Јавно</w:t>
            </w:r>
            <w:proofErr w:type="spellEnd"/>
            <w:r>
              <w:rPr>
                <w:sz w:val="20"/>
                <w:lang w:val="en-US"/>
              </w:rPr>
              <w:t xml:space="preserve"> </w:t>
            </w:r>
            <w:proofErr w:type="spellStart"/>
            <w:r>
              <w:rPr>
                <w:sz w:val="20"/>
                <w:lang w:val="en-US"/>
              </w:rPr>
              <w:t>објавување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вистинските</w:t>
            </w:r>
            <w:proofErr w:type="spellEnd"/>
            <w:r>
              <w:rPr>
                <w:sz w:val="20"/>
                <w:lang w:val="en-US"/>
              </w:rPr>
              <w:t xml:space="preserve"> </w:t>
            </w:r>
            <w:proofErr w:type="spellStart"/>
            <w:r>
              <w:rPr>
                <w:sz w:val="20"/>
                <w:lang w:val="en-US"/>
              </w:rPr>
              <w:t>сопственици</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фирмите</w:t>
            </w:r>
            <w:proofErr w:type="spellEnd"/>
            <w:r>
              <w:rPr>
                <w:sz w:val="20"/>
                <w:lang w:val="en-US"/>
              </w:rPr>
              <w:t xml:space="preserve"> </w:t>
            </w:r>
            <w:proofErr w:type="spellStart"/>
            <w:r>
              <w:rPr>
                <w:sz w:val="20"/>
                <w:lang w:val="en-US"/>
              </w:rPr>
              <w:t>што</w:t>
            </w:r>
            <w:proofErr w:type="spellEnd"/>
            <w:r>
              <w:rPr>
                <w:sz w:val="20"/>
                <w:lang w:val="en-US"/>
              </w:rPr>
              <w:t xml:space="preserve"> </w:t>
            </w:r>
            <w:proofErr w:type="spellStart"/>
            <w:r>
              <w:rPr>
                <w:sz w:val="20"/>
                <w:lang w:val="en-US"/>
              </w:rPr>
              <w:t>склучиле</w:t>
            </w:r>
            <w:proofErr w:type="spellEnd"/>
            <w:r>
              <w:rPr>
                <w:sz w:val="20"/>
                <w:lang w:val="en-US"/>
              </w:rPr>
              <w:t xml:space="preserve"> </w:t>
            </w:r>
            <w:proofErr w:type="spellStart"/>
            <w:r>
              <w:rPr>
                <w:sz w:val="20"/>
                <w:lang w:val="en-US"/>
              </w:rPr>
              <w:t>договори</w:t>
            </w:r>
            <w:proofErr w:type="spellEnd"/>
            <w:r>
              <w:rPr>
                <w:sz w:val="20"/>
                <w:lang w:val="en-US"/>
              </w:rPr>
              <w:t xml:space="preserve"> </w:t>
            </w:r>
            <w:proofErr w:type="spellStart"/>
            <w:r>
              <w:rPr>
                <w:sz w:val="20"/>
                <w:lang w:val="en-US"/>
              </w:rPr>
              <w:t>за</w:t>
            </w:r>
            <w:proofErr w:type="spellEnd"/>
            <w:r>
              <w:rPr>
                <w:sz w:val="20"/>
                <w:lang w:val="en-US"/>
              </w:rPr>
              <w:t xml:space="preserve"> </w:t>
            </w:r>
            <w:proofErr w:type="spellStart"/>
            <w:r>
              <w:rPr>
                <w:sz w:val="20"/>
                <w:lang w:val="en-US"/>
              </w:rPr>
              <w:t>јавни</w:t>
            </w:r>
            <w:proofErr w:type="spellEnd"/>
            <w:r>
              <w:rPr>
                <w:sz w:val="20"/>
                <w:lang w:val="en-US"/>
              </w:rPr>
              <w:t xml:space="preserve"> </w:t>
            </w:r>
            <w:proofErr w:type="spellStart"/>
            <w:r>
              <w:rPr>
                <w:sz w:val="20"/>
                <w:lang w:val="en-US"/>
              </w:rPr>
              <w:t>набавки</w:t>
            </w:r>
            <w:proofErr w:type="spellEnd"/>
          </w:p>
        </w:tc>
        <w:tc>
          <w:tcPr>
            <w:tcW w:w="495" w:type="dxa"/>
            <w:shd w:val="clear" w:color="auto" w:fill="FFFFFF"/>
          </w:tcPr>
          <w:p w14:paraId="311CF54A" w14:textId="77777777" w:rsidR="00A52A9A" w:rsidRDefault="00A52A9A" w:rsidP="00A86A0C">
            <w:pPr>
              <w:pStyle w:val="TableContents"/>
              <w:jc w:val="both"/>
            </w:pPr>
          </w:p>
        </w:tc>
        <w:tc>
          <w:tcPr>
            <w:tcW w:w="495" w:type="dxa"/>
            <w:shd w:val="clear" w:color="auto" w:fill="2E74B5"/>
          </w:tcPr>
          <w:p w14:paraId="3EFAE0CA" w14:textId="77777777" w:rsidR="00A52A9A" w:rsidRDefault="00A52A9A" w:rsidP="00A86A0C">
            <w:pPr>
              <w:pStyle w:val="TableContents"/>
              <w:jc w:val="both"/>
            </w:pPr>
          </w:p>
        </w:tc>
        <w:tc>
          <w:tcPr>
            <w:tcW w:w="491" w:type="dxa"/>
            <w:shd w:val="clear" w:color="auto" w:fill="FFFFFF"/>
          </w:tcPr>
          <w:p w14:paraId="398E751B" w14:textId="77777777" w:rsidR="00A52A9A" w:rsidRDefault="00A52A9A" w:rsidP="00A86A0C">
            <w:pPr>
              <w:pStyle w:val="TableContents"/>
              <w:jc w:val="both"/>
            </w:pPr>
          </w:p>
        </w:tc>
        <w:tc>
          <w:tcPr>
            <w:tcW w:w="492" w:type="dxa"/>
            <w:shd w:val="clear" w:color="auto" w:fill="FFFFFF"/>
          </w:tcPr>
          <w:p w14:paraId="292F70D7" w14:textId="77777777" w:rsidR="00A52A9A" w:rsidRDefault="00A52A9A" w:rsidP="00A86A0C">
            <w:pPr>
              <w:pStyle w:val="TableContents"/>
              <w:jc w:val="both"/>
            </w:pPr>
          </w:p>
        </w:tc>
        <w:tc>
          <w:tcPr>
            <w:tcW w:w="1326" w:type="dxa"/>
            <w:shd w:val="clear" w:color="auto" w:fill="FFFFFF"/>
          </w:tcPr>
          <w:p w14:paraId="1C08AE64" w14:textId="77777777" w:rsidR="00A52A9A" w:rsidRDefault="00A52A9A" w:rsidP="00A86A0C">
            <w:pPr>
              <w:pStyle w:val="TableContents"/>
              <w:jc w:val="both"/>
            </w:pPr>
            <w:r>
              <w:rPr>
                <w:sz w:val="20"/>
                <w:lang w:val="en-US"/>
              </w:rPr>
              <w:t>31.08.2023</w:t>
            </w:r>
          </w:p>
        </w:tc>
      </w:tr>
      <w:tr w:rsidR="00A52A9A" w14:paraId="579CA463" w14:textId="77777777" w:rsidTr="00880D6C">
        <w:trPr>
          <w:trHeight w:val="735"/>
        </w:trPr>
        <w:tc>
          <w:tcPr>
            <w:tcW w:w="5911" w:type="dxa"/>
            <w:shd w:val="clear" w:color="auto" w:fill="FFFFFF"/>
            <w:vAlign w:val="center"/>
          </w:tcPr>
          <w:p w14:paraId="4FA8886B" w14:textId="77777777" w:rsidR="00A52A9A" w:rsidRDefault="00A52A9A" w:rsidP="00A86A0C">
            <w:pPr>
              <w:pStyle w:val="TableContents"/>
              <w:jc w:val="both"/>
            </w:pPr>
            <w:r>
              <w:rPr>
                <w:sz w:val="20"/>
                <w:lang w:val="en-US"/>
              </w:rPr>
              <w:t xml:space="preserve">1.2 </w:t>
            </w:r>
            <w:proofErr w:type="spellStart"/>
            <w:r>
              <w:rPr>
                <w:sz w:val="20"/>
                <w:lang w:val="en-US"/>
              </w:rPr>
              <w:t>Проактивно</w:t>
            </w:r>
            <w:proofErr w:type="spellEnd"/>
            <w:r>
              <w:rPr>
                <w:sz w:val="20"/>
                <w:lang w:val="en-US"/>
              </w:rPr>
              <w:t xml:space="preserve"> </w:t>
            </w:r>
            <w:proofErr w:type="spellStart"/>
            <w:r>
              <w:rPr>
                <w:sz w:val="20"/>
                <w:lang w:val="en-US"/>
              </w:rPr>
              <w:t>објавување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информациите</w:t>
            </w:r>
            <w:proofErr w:type="spellEnd"/>
            <w:r>
              <w:rPr>
                <w:sz w:val="20"/>
                <w:lang w:val="en-US"/>
              </w:rPr>
              <w:t xml:space="preserve"> </w:t>
            </w:r>
            <w:proofErr w:type="spellStart"/>
            <w:r>
              <w:rPr>
                <w:sz w:val="20"/>
                <w:lang w:val="en-US"/>
              </w:rPr>
              <w:t>од</w:t>
            </w:r>
            <w:proofErr w:type="spellEnd"/>
            <w:r>
              <w:rPr>
                <w:sz w:val="20"/>
                <w:lang w:val="en-US"/>
              </w:rPr>
              <w:t xml:space="preserve"> </w:t>
            </w:r>
            <w:proofErr w:type="spellStart"/>
            <w:r>
              <w:rPr>
                <w:sz w:val="20"/>
                <w:lang w:val="en-US"/>
              </w:rPr>
              <w:t>јавен</w:t>
            </w:r>
            <w:proofErr w:type="spellEnd"/>
            <w:r>
              <w:rPr>
                <w:sz w:val="20"/>
                <w:lang w:val="en-US"/>
              </w:rPr>
              <w:t xml:space="preserve"> </w:t>
            </w:r>
            <w:proofErr w:type="spellStart"/>
            <w:r>
              <w:rPr>
                <w:sz w:val="20"/>
                <w:lang w:val="en-US"/>
              </w:rPr>
              <w:t>карактер</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веб-страниците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институциите</w:t>
            </w:r>
            <w:proofErr w:type="spellEnd"/>
          </w:p>
        </w:tc>
        <w:tc>
          <w:tcPr>
            <w:tcW w:w="495" w:type="dxa"/>
            <w:shd w:val="clear" w:color="auto" w:fill="FFFFFF"/>
            <w:vAlign w:val="center"/>
          </w:tcPr>
          <w:p w14:paraId="0F865068" w14:textId="77777777" w:rsidR="00A52A9A" w:rsidRDefault="00A52A9A" w:rsidP="00A86A0C">
            <w:pPr>
              <w:pStyle w:val="TableContents"/>
              <w:jc w:val="both"/>
            </w:pPr>
          </w:p>
        </w:tc>
        <w:tc>
          <w:tcPr>
            <w:tcW w:w="495" w:type="dxa"/>
            <w:shd w:val="clear" w:color="auto" w:fill="FFFFFF"/>
            <w:vAlign w:val="center"/>
          </w:tcPr>
          <w:p w14:paraId="2EC76FF6" w14:textId="77777777" w:rsidR="00A52A9A" w:rsidRDefault="00A52A9A" w:rsidP="00A86A0C">
            <w:pPr>
              <w:pStyle w:val="TableContents"/>
              <w:jc w:val="both"/>
            </w:pPr>
          </w:p>
        </w:tc>
        <w:tc>
          <w:tcPr>
            <w:tcW w:w="491" w:type="dxa"/>
            <w:shd w:val="clear" w:color="auto" w:fill="2E74B5"/>
            <w:vAlign w:val="center"/>
          </w:tcPr>
          <w:p w14:paraId="341F0377" w14:textId="77777777" w:rsidR="00A52A9A" w:rsidRDefault="00A52A9A" w:rsidP="00A86A0C">
            <w:pPr>
              <w:pStyle w:val="TableContents"/>
              <w:jc w:val="both"/>
            </w:pPr>
          </w:p>
        </w:tc>
        <w:tc>
          <w:tcPr>
            <w:tcW w:w="492" w:type="dxa"/>
            <w:shd w:val="clear" w:color="auto" w:fill="FFFFFF"/>
            <w:vAlign w:val="center"/>
          </w:tcPr>
          <w:p w14:paraId="24D4B091" w14:textId="77777777" w:rsidR="00A52A9A" w:rsidRDefault="00A52A9A" w:rsidP="00A86A0C">
            <w:pPr>
              <w:pStyle w:val="TableContents"/>
              <w:jc w:val="both"/>
            </w:pPr>
          </w:p>
        </w:tc>
        <w:tc>
          <w:tcPr>
            <w:tcW w:w="1326" w:type="dxa"/>
            <w:shd w:val="clear" w:color="auto" w:fill="FFFFFF"/>
            <w:vAlign w:val="center"/>
          </w:tcPr>
          <w:p w14:paraId="0E867755" w14:textId="77777777" w:rsidR="00A52A9A" w:rsidRDefault="00A52A9A" w:rsidP="00A86A0C">
            <w:pPr>
              <w:pStyle w:val="TableContents"/>
              <w:jc w:val="both"/>
            </w:pPr>
            <w:r>
              <w:rPr>
                <w:sz w:val="20"/>
                <w:lang w:val="en-US"/>
              </w:rPr>
              <w:t>31.08.2023</w:t>
            </w:r>
          </w:p>
        </w:tc>
      </w:tr>
      <w:tr w:rsidR="00A52A9A" w14:paraId="5E797F05" w14:textId="77777777" w:rsidTr="00880D6C">
        <w:trPr>
          <w:trHeight w:val="735"/>
        </w:trPr>
        <w:tc>
          <w:tcPr>
            <w:tcW w:w="5911" w:type="dxa"/>
            <w:shd w:val="clear" w:color="auto" w:fill="FFFFFF"/>
            <w:vAlign w:val="center"/>
          </w:tcPr>
          <w:p w14:paraId="2F5B3FC2" w14:textId="77777777" w:rsidR="00A52A9A" w:rsidRDefault="00A52A9A" w:rsidP="00A86A0C">
            <w:pPr>
              <w:pStyle w:val="TableContents"/>
              <w:jc w:val="both"/>
            </w:pPr>
            <w:r>
              <w:rPr>
                <w:sz w:val="20"/>
                <w:lang w:val="en-US"/>
              </w:rPr>
              <w:t xml:space="preserve">1.3 </w:t>
            </w:r>
            <w:proofErr w:type="spellStart"/>
            <w:r>
              <w:rPr>
                <w:sz w:val="20"/>
                <w:lang w:val="en-US"/>
              </w:rPr>
              <w:t>Објавување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основните</w:t>
            </w:r>
            <w:proofErr w:type="spellEnd"/>
            <w:r>
              <w:rPr>
                <w:sz w:val="20"/>
                <w:lang w:val="en-US"/>
              </w:rPr>
              <w:t xml:space="preserve"> </w:t>
            </w:r>
            <w:proofErr w:type="spellStart"/>
            <w:r>
              <w:rPr>
                <w:sz w:val="20"/>
                <w:lang w:val="en-US"/>
              </w:rPr>
              <w:t>информации</w:t>
            </w:r>
            <w:proofErr w:type="spellEnd"/>
            <w:r>
              <w:rPr>
                <w:sz w:val="20"/>
                <w:lang w:val="en-US"/>
              </w:rPr>
              <w:t xml:space="preserve"> </w:t>
            </w:r>
            <w:proofErr w:type="spellStart"/>
            <w:r>
              <w:rPr>
                <w:sz w:val="20"/>
                <w:lang w:val="en-US"/>
              </w:rPr>
              <w:t>за</w:t>
            </w:r>
            <w:proofErr w:type="spellEnd"/>
            <w:r>
              <w:rPr>
                <w:sz w:val="20"/>
                <w:lang w:val="en-US"/>
              </w:rPr>
              <w:t xml:space="preserve"> </w:t>
            </w:r>
            <w:proofErr w:type="spellStart"/>
            <w:r>
              <w:rPr>
                <w:sz w:val="20"/>
                <w:lang w:val="en-US"/>
              </w:rPr>
              <w:t>јавните</w:t>
            </w:r>
            <w:proofErr w:type="spellEnd"/>
            <w:r>
              <w:rPr>
                <w:sz w:val="20"/>
                <w:lang w:val="en-US"/>
              </w:rPr>
              <w:t xml:space="preserve"> </w:t>
            </w:r>
            <w:proofErr w:type="spellStart"/>
            <w:r>
              <w:rPr>
                <w:sz w:val="20"/>
                <w:lang w:val="en-US"/>
              </w:rPr>
              <w:t>набавки</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интернет</w:t>
            </w:r>
            <w:proofErr w:type="spellEnd"/>
            <w:r>
              <w:rPr>
                <w:sz w:val="20"/>
                <w:lang w:val="en-US"/>
              </w:rPr>
              <w:t xml:space="preserve"> </w:t>
            </w:r>
            <w:proofErr w:type="spellStart"/>
            <w:r>
              <w:rPr>
                <w:sz w:val="20"/>
                <w:lang w:val="en-US"/>
              </w:rPr>
              <w:t>страниците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институциите</w:t>
            </w:r>
            <w:proofErr w:type="spellEnd"/>
          </w:p>
        </w:tc>
        <w:tc>
          <w:tcPr>
            <w:tcW w:w="495" w:type="dxa"/>
            <w:shd w:val="clear" w:color="auto" w:fill="FFFFFF"/>
            <w:vAlign w:val="center"/>
          </w:tcPr>
          <w:p w14:paraId="5AA9CE7D" w14:textId="77777777" w:rsidR="00A52A9A" w:rsidRDefault="00A52A9A" w:rsidP="00A86A0C">
            <w:pPr>
              <w:pStyle w:val="TableContents"/>
              <w:jc w:val="both"/>
            </w:pPr>
          </w:p>
        </w:tc>
        <w:tc>
          <w:tcPr>
            <w:tcW w:w="495" w:type="dxa"/>
            <w:shd w:val="clear" w:color="auto" w:fill="FFFFFF"/>
            <w:vAlign w:val="center"/>
          </w:tcPr>
          <w:p w14:paraId="3F638985" w14:textId="77777777" w:rsidR="00A52A9A" w:rsidRDefault="00A52A9A" w:rsidP="00A86A0C">
            <w:pPr>
              <w:pStyle w:val="TableContents"/>
              <w:jc w:val="both"/>
            </w:pPr>
          </w:p>
        </w:tc>
        <w:tc>
          <w:tcPr>
            <w:tcW w:w="491" w:type="dxa"/>
            <w:shd w:val="clear" w:color="auto" w:fill="2E74B5"/>
            <w:vAlign w:val="center"/>
          </w:tcPr>
          <w:p w14:paraId="689F93AC" w14:textId="77777777" w:rsidR="00A52A9A" w:rsidRDefault="00A52A9A" w:rsidP="00A86A0C">
            <w:pPr>
              <w:pStyle w:val="TableContents"/>
              <w:jc w:val="both"/>
            </w:pPr>
          </w:p>
        </w:tc>
        <w:tc>
          <w:tcPr>
            <w:tcW w:w="492" w:type="dxa"/>
            <w:shd w:val="clear" w:color="auto" w:fill="FFFFFF"/>
            <w:vAlign w:val="center"/>
          </w:tcPr>
          <w:p w14:paraId="4CF11DF4" w14:textId="77777777" w:rsidR="00A52A9A" w:rsidRDefault="00A52A9A" w:rsidP="00A86A0C">
            <w:pPr>
              <w:pStyle w:val="TableContents"/>
              <w:jc w:val="both"/>
            </w:pPr>
          </w:p>
        </w:tc>
        <w:tc>
          <w:tcPr>
            <w:tcW w:w="1326" w:type="dxa"/>
            <w:shd w:val="clear" w:color="auto" w:fill="FFFFFF"/>
            <w:vAlign w:val="center"/>
          </w:tcPr>
          <w:p w14:paraId="5916E5C4" w14:textId="77777777" w:rsidR="00A52A9A" w:rsidRDefault="00A52A9A" w:rsidP="00A86A0C">
            <w:pPr>
              <w:pStyle w:val="TableContents"/>
              <w:jc w:val="both"/>
            </w:pPr>
            <w:r>
              <w:rPr>
                <w:sz w:val="20"/>
                <w:lang w:val="en-US"/>
              </w:rPr>
              <w:t>31.08.2023</w:t>
            </w:r>
          </w:p>
        </w:tc>
      </w:tr>
      <w:tr w:rsidR="00A52A9A" w14:paraId="79E53F4B" w14:textId="77777777" w:rsidTr="00880D6C">
        <w:trPr>
          <w:trHeight w:val="735"/>
        </w:trPr>
        <w:tc>
          <w:tcPr>
            <w:tcW w:w="5911" w:type="dxa"/>
            <w:shd w:val="clear" w:color="auto" w:fill="FFFFFF"/>
            <w:vAlign w:val="center"/>
          </w:tcPr>
          <w:p w14:paraId="760AD574" w14:textId="77777777" w:rsidR="00A52A9A" w:rsidRDefault="00A52A9A" w:rsidP="00A86A0C">
            <w:pPr>
              <w:pStyle w:val="TableContents"/>
              <w:jc w:val="both"/>
            </w:pPr>
            <w:r>
              <w:rPr>
                <w:sz w:val="20"/>
                <w:lang w:val="en-US"/>
              </w:rPr>
              <w:t xml:space="preserve">1.4 </w:t>
            </w:r>
            <w:proofErr w:type="spellStart"/>
            <w:r>
              <w:rPr>
                <w:sz w:val="20"/>
                <w:lang w:val="en-US"/>
              </w:rPr>
              <w:t>Унапредување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пристапот</w:t>
            </w:r>
            <w:proofErr w:type="spellEnd"/>
            <w:r>
              <w:rPr>
                <w:sz w:val="20"/>
                <w:lang w:val="en-US"/>
              </w:rPr>
              <w:t xml:space="preserve"> </w:t>
            </w:r>
            <w:proofErr w:type="spellStart"/>
            <w:r>
              <w:rPr>
                <w:sz w:val="20"/>
                <w:lang w:val="en-US"/>
              </w:rPr>
              <w:t>до</w:t>
            </w:r>
            <w:proofErr w:type="spellEnd"/>
            <w:r>
              <w:rPr>
                <w:sz w:val="20"/>
                <w:lang w:val="en-US"/>
              </w:rPr>
              <w:t xml:space="preserve"> </w:t>
            </w:r>
            <w:proofErr w:type="spellStart"/>
            <w:r>
              <w:rPr>
                <w:sz w:val="20"/>
                <w:lang w:val="en-US"/>
              </w:rPr>
              <w:t>информации</w:t>
            </w:r>
            <w:proofErr w:type="spellEnd"/>
            <w:r>
              <w:rPr>
                <w:sz w:val="20"/>
                <w:lang w:val="en-US"/>
              </w:rPr>
              <w:t xml:space="preserve"> и </w:t>
            </w:r>
            <w:proofErr w:type="spellStart"/>
            <w:r>
              <w:rPr>
                <w:sz w:val="20"/>
                <w:lang w:val="en-US"/>
              </w:rPr>
              <w:t>бројот</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објавени</w:t>
            </w:r>
            <w:proofErr w:type="spellEnd"/>
            <w:r>
              <w:rPr>
                <w:sz w:val="20"/>
                <w:lang w:val="en-US"/>
              </w:rPr>
              <w:t xml:space="preserve"> </w:t>
            </w:r>
            <w:proofErr w:type="spellStart"/>
            <w:r>
              <w:rPr>
                <w:sz w:val="20"/>
                <w:lang w:val="en-US"/>
              </w:rPr>
              <w:t>отворени</w:t>
            </w:r>
            <w:proofErr w:type="spellEnd"/>
            <w:r>
              <w:rPr>
                <w:sz w:val="20"/>
                <w:lang w:val="en-US"/>
              </w:rPr>
              <w:t xml:space="preserve"> </w:t>
            </w:r>
            <w:proofErr w:type="spellStart"/>
            <w:r>
              <w:rPr>
                <w:sz w:val="20"/>
                <w:lang w:val="en-US"/>
              </w:rPr>
              <w:t>податоци</w:t>
            </w:r>
            <w:proofErr w:type="spellEnd"/>
            <w:r>
              <w:rPr>
                <w:sz w:val="20"/>
                <w:lang w:val="en-US"/>
              </w:rPr>
              <w:t xml:space="preserve"> </w:t>
            </w:r>
            <w:proofErr w:type="spellStart"/>
            <w:r>
              <w:rPr>
                <w:sz w:val="20"/>
                <w:lang w:val="en-US"/>
              </w:rPr>
              <w:t>во</w:t>
            </w:r>
            <w:proofErr w:type="spellEnd"/>
            <w:r>
              <w:rPr>
                <w:sz w:val="20"/>
                <w:lang w:val="en-US"/>
              </w:rPr>
              <w:t xml:space="preserve"> </w:t>
            </w:r>
            <w:proofErr w:type="spellStart"/>
            <w:r>
              <w:rPr>
                <w:sz w:val="20"/>
                <w:lang w:val="en-US"/>
              </w:rPr>
              <w:t>единиците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локалната</w:t>
            </w:r>
            <w:proofErr w:type="spellEnd"/>
            <w:r>
              <w:rPr>
                <w:sz w:val="20"/>
                <w:lang w:val="en-US"/>
              </w:rPr>
              <w:t xml:space="preserve"> </w:t>
            </w:r>
            <w:proofErr w:type="spellStart"/>
            <w:r>
              <w:rPr>
                <w:sz w:val="20"/>
                <w:lang w:val="en-US"/>
              </w:rPr>
              <w:t>самоуправа</w:t>
            </w:r>
            <w:proofErr w:type="spellEnd"/>
            <w:r>
              <w:rPr>
                <w:sz w:val="20"/>
                <w:lang w:val="en-US"/>
              </w:rPr>
              <w:t xml:space="preserve"> (ЕЛС)</w:t>
            </w:r>
          </w:p>
        </w:tc>
        <w:tc>
          <w:tcPr>
            <w:tcW w:w="495" w:type="dxa"/>
            <w:shd w:val="clear" w:color="auto" w:fill="FFFFFF"/>
            <w:vAlign w:val="center"/>
          </w:tcPr>
          <w:p w14:paraId="18ABBFE6" w14:textId="77777777" w:rsidR="00A52A9A" w:rsidRDefault="00A52A9A" w:rsidP="00A86A0C">
            <w:pPr>
              <w:pStyle w:val="TableContents"/>
              <w:jc w:val="both"/>
            </w:pPr>
          </w:p>
        </w:tc>
        <w:tc>
          <w:tcPr>
            <w:tcW w:w="495" w:type="dxa"/>
            <w:shd w:val="clear" w:color="auto" w:fill="FFFFFF"/>
            <w:vAlign w:val="center"/>
          </w:tcPr>
          <w:p w14:paraId="0FED9EAB" w14:textId="77777777" w:rsidR="00A52A9A" w:rsidRDefault="00A52A9A" w:rsidP="00A86A0C">
            <w:pPr>
              <w:pStyle w:val="TableContents"/>
              <w:jc w:val="both"/>
            </w:pPr>
          </w:p>
        </w:tc>
        <w:tc>
          <w:tcPr>
            <w:tcW w:w="491" w:type="dxa"/>
            <w:shd w:val="clear" w:color="auto" w:fill="FFFFFF"/>
            <w:vAlign w:val="center"/>
          </w:tcPr>
          <w:p w14:paraId="29ECBDDF" w14:textId="77777777" w:rsidR="00A52A9A" w:rsidRDefault="00A52A9A" w:rsidP="00A86A0C">
            <w:pPr>
              <w:pStyle w:val="TableContents"/>
              <w:jc w:val="both"/>
            </w:pPr>
          </w:p>
        </w:tc>
        <w:tc>
          <w:tcPr>
            <w:tcW w:w="492" w:type="dxa"/>
            <w:shd w:val="clear" w:color="auto" w:fill="2E74B5"/>
            <w:vAlign w:val="center"/>
          </w:tcPr>
          <w:p w14:paraId="7A3CCCE1" w14:textId="77777777" w:rsidR="00A52A9A" w:rsidRDefault="00A52A9A" w:rsidP="00A86A0C">
            <w:pPr>
              <w:pStyle w:val="TableContents"/>
              <w:jc w:val="both"/>
            </w:pPr>
          </w:p>
        </w:tc>
        <w:tc>
          <w:tcPr>
            <w:tcW w:w="1326" w:type="dxa"/>
            <w:shd w:val="clear" w:color="auto" w:fill="FFFFFF"/>
            <w:vAlign w:val="center"/>
          </w:tcPr>
          <w:p w14:paraId="098CCEC6" w14:textId="77777777" w:rsidR="00A52A9A" w:rsidRDefault="00A52A9A" w:rsidP="00A86A0C">
            <w:pPr>
              <w:pStyle w:val="TableContents"/>
              <w:jc w:val="both"/>
            </w:pPr>
            <w:r>
              <w:rPr>
                <w:sz w:val="20"/>
                <w:lang w:val="en-US"/>
              </w:rPr>
              <w:t>31.08.2022</w:t>
            </w:r>
          </w:p>
        </w:tc>
      </w:tr>
      <w:tr w:rsidR="00A52A9A" w14:paraId="6AE9C19B" w14:textId="77777777" w:rsidTr="00880D6C">
        <w:trPr>
          <w:trHeight w:val="735"/>
        </w:trPr>
        <w:tc>
          <w:tcPr>
            <w:tcW w:w="5911" w:type="dxa"/>
            <w:shd w:val="clear" w:color="auto" w:fill="FFFFFF"/>
            <w:vAlign w:val="center"/>
          </w:tcPr>
          <w:p w14:paraId="6ABA1761" w14:textId="77777777" w:rsidR="00A52A9A" w:rsidRDefault="00A52A9A" w:rsidP="00A86A0C">
            <w:pPr>
              <w:pStyle w:val="TableContents"/>
              <w:jc w:val="both"/>
            </w:pPr>
            <w:r>
              <w:rPr>
                <w:sz w:val="20"/>
                <w:lang w:val="en-US"/>
              </w:rPr>
              <w:t xml:space="preserve">1.5 </w:t>
            </w:r>
            <w:proofErr w:type="spellStart"/>
            <w:r>
              <w:rPr>
                <w:sz w:val="20"/>
                <w:lang w:val="en-US"/>
              </w:rPr>
              <w:t>Овозможување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бесплатен</w:t>
            </w:r>
            <w:proofErr w:type="spellEnd"/>
            <w:r>
              <w:rPr>
                <w:sz w:val="20"/>
                <w:lang w:val="en-US"/>
              </w:rPr>
              <w:t xml:space="preserve"> </w:t>
            </w:r>
            <w:proofErr w:type="spellStart"/>
            <w:r>
              <w:rPr>
                <w:sz w:val="20"/>
                <w:lang w:val="en-US"/>
              </w:rPr>
              <w:t>пристап</w:t>
            </w:r>
            <w:proofErr w:type="spellEnd"/>
            <w:r>
              <w:rPr>
                <w:sz w:val="20"/>
                <w:lang w:val="en-US"/>
              </w:rPr>
              <w:t xml:space="preserve"> </w:t>
            </w:r>
            <w:proofErr w:type="spellStart"/>
            <w:r>
              <w:rPr>
                <w:sz w:val="20"/>
                <w:lang w:val="en-US"/>
              </w:rPr>
              <w:t>до</w:t>
            </w:r>
            <w:proofErr w:type="spellEnd"/>
            <w:r>
              <w:rPr>
                <w:sz w:val="20"/>
                <w:lang w:val="en-US"/>
              </w:rPr>
              <w:t xml:space="preserve"> </w:t>
            </w:r>
            <w:proofErr w:type="spellStart"/>
            <w:r>
              <w:rPr>
                <w:sz w:val="20"/>
                <w:lang w:val="en-US"/>
              </w:rPr>
              <w:t>податоци</w:t>
            </w:r>
            <w:proofErr w:type="spellEnd"/>
            <w:r>
              <w:rPr>
                <w:sz w:val="20"/>
                <w:lang w:val="en-US"/>
              </w:rPr>
              <w:t xml:space="preserve"> </w:t>
            </w:r>
            <w:proofErr w:type="spellStart"/>
            <w:r>
              <w:rPr>
                <w:sz w:val="20"/>
                <w:lang w:val="en-US"/>
              </w:rPr>
              <w:t>за</w:t>
            </w:r>
            <w:proofErr w:type="spellEnd"/>
            <w:r>
              <w:rPr>
                <w:sz w:val="20"/>
                <w:lang w:val="en-US"/>
              </w:rPr>
              <w:t xml:space="preserve"> </w:t>
            </w:r>
            <w:proofErr w:type="spellStart"/>
            <w:r>
              <w:rPr>
                <w:sz w:val="20"/>
                <w:lang w:val="en-US"/>
              </w:rPr>
              <w:t>граѓанските</w:t>
            </w:r>
            <w:proofErr w:type="spellEnd"/>
            <w:r>
              <w:rPr>
                <w:sz w:val="20"/>
                <w:lang w:val="en-US"/>
              </w:rPr>
              <w:t xml:space="preserve"> </w:t>
            </w:r>
            <w:proofErr w:type="spellStart"/>
            <w:r>
              <w:rPr>
                <w:sz w:val="20"/>
                <w:lang w:val="en-US"/>
              </w:rPr>
              <w:t>организации</w:t>
            </w:r>
            <w:proofErr w:type="spellEnd"/>
          </w:p>
        </w:tc>
        <w:tc>
          <w:tcPr>
            <w:tcW w:w="495" w:type="dxa"/>
            <w:shd w:val="clear" w:color="auto" w:fill="FFFFFF"/>
            <w:vAlign w:val="center"/>
          </w:tcPr>
          <w:p w14:paraId="001FDD40" w14:textId="77777777" w:rsidR="00A52A9A" w:rsidRDefault="00A52A9A" w:rsidP="00A86A0C">
            <w:pPr>
              <w:pStyle w:val="TableContents"/>
              <w:jc w:val="both"/>
            </w:pPr>
          </w:p>
        </w:tc>
        <w:tc>
          <w:tcPr>
            <w:tcW w:w="495" w:type="dxa"/>
            <w:shd w:val="clear" w:color="auto" w:fill="FFFFFF"/>
            <w:vAlign w:val="center"/>
          </w:tcPr>
          <w:p w14:paraId="6177A123" w14:textId="77777777" w:rsidR="00A52A9A" w:rsidRDefault="00A52A9A" w:rsidP="00A86A0C">
            <w:pPr>
              <w:pStyle w:val="TableContents"/>
              <w:jc w:val="both"/>
            </w:pPr>
          </w:p>
        </w:tc>
        <w:tc>
          <w:tcPr>
            <w:tcW w:w="491" w:type="dxa"/>
            <w:shd w:val="clear" w:color="auto" w:fill="2E74B5"/>
            <w:vAlign w:val="center"/>
          </w:tcPr>
          <w:p w14:paraId="456DA118" w14:textId="77777777" w:rsidR="00A52A9A" w:rsidRDefault="00A52A9A" w:rsidP="00A86A0C">
            <w:pPr>
              <w:pStyle w:val="TableContents"/>
              <w:jc w:val="both"/>
            </w:pPr>
          </w:p>
        </w:tc>
        <w:tc>
          <w:tcPr>
            <w:tcW w:w="492" w:type="dxa"/>
            <w:shd w:val="clear" w:color="auto" w:fill="FFFFFF"/>
            <w:vAlign w:val="center"/>
          </w:tcPr>
          <w:p w14:paraId="19C9F4BB" w14:textId="77777777" w:rsidR="00A52A9A" w:rsidRDefault="00A52A9A" w:rsidP="00A86A0C">
            <w:pPr>
              <w:pStyle w:val="TableContents"/>
              <w:jc w:val="both"/>
            </w:pPr>
          </w:p>
        </w:tc>
        <w:tc>
          <w:tcPr>
            <w:tcW w:w="1326" w:type="dxa"/>
            <w:shd w:val="clear" w:color="auto" w:fill="FFFFFF"/>
            <w:vAlign w:val="center"/>
          </w:tcPr>
          <w:p w14:paraId="73BE69B2" w14:textId="77777777" w:rsidR="00A52A9A" w:rsidRDefault="00A52A9A" w:rsidP="00A86A0C">
            <w:pPr>
              <w:pStyle w:val="TableContents"/>
              <w:jc w:val="both"/>
            </w:pPr>
            <w:r>
              <w:rPr>
                <w:sz w:val="20"/>
                <w:lang w:val="en-US"/>
              </w:rPr>
              <w:t>31.05.2022</w:t>
            </w:r>
          </w:p>
        </w:tc>
      </w:tr>
      <w:tr w:rsidR="00A52A9A" w14:paraId="62281584" w14:textId="77777777" w:rsidTr="00880D6C">
        <w:trPr>
          <w:trHeight w:val="735"/>
        </w:trPr>
        <w:tc>
          <w:tcPr>
            <w:tcW w:w="5911" w:type="dxa"/>
            <w:shd w:val="clear" w:color="auto" w:fill="FFFFFF"/>
            <w:vAlign w:val="center"/>
          </w:tcPr>
          <w:p w14:paraId="24B53F89" w14:textId="77777777" w:rsidR="00A52A9A" w:rsidRDefault="00A52A9A" w:rsidP="00A86A0C">
            <w:pPr>
              <w:pStyle w:val="TableContents"/>
              <w:jc w:val="both"/>
            </w:pPr>
            <w:r>
              <w:rPr>
                <w:sz w:val="20"/>
                <w:lang w:val="en-US"/>
              </w:rPr>
              <w:lastRenderedPageBreak/>
              <w:t xml:space="preserve">1.6 </w:t>
            </w:r>
            <w:proofErr w:type="spellStart"/>
            <w:r>
              <w:rPr>
                <w:sz w:val="20"/>
                <w:lang w:val="en-US"/>
              </w:rPr>
              <w:t>Фискална</w:t>
            </w:r>
            <w:proofErr w:type="spellEnd"/>
            <w:r>
              <w:rPr>
                <w:sz w:val="20"/>
                <w:lang w:val="en-US"/>
              </w:rPr>
              <w:t xml:space="preserve"> </w:t>
            </w:r>
            <w:proofErr w:type="spellStart"/>
            <w:r>
              <w:rPr>
                <w:sz w:val="20"/>
                <w:lang w:val="en-US"/>
              </w:rPr>
              <w:t>транспарентност</w:t>
            </w:r>
            <w:proofErr w:type="spellEnd"/>
            <w:r>
              <w:rPr>
                <w:sz w:val="20"/>
                <w:lang w:val="en-US"/>
              </w:rPr>
              <w:t xml:space="preserve"> и </w:t>
            </w:r>
            <w:proofErr w:type="spellStart"/>
            <w:r>
              <w:rPr>
                <w:sz w:val="20"/>
                <w:lang w:val="en-US"/>
              </w:rPr>
              <w:t>отчетност</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локално</w:t>
            </w:r>
            <w:proofErr w:type="spellEnd"/>
            <w:r>
              <w:rPr>
                <w:sz w:val="20"/>
                <w:lang w:val="en-US"/>
              </w:rPr>
              <w:t xml:space="preserve"> </w:t>
            </w:r>
            <w:proofErr w:type="spellStart"/>
            <w:r>
              <w:rPr>
                <w:sz w:val="20"/>
                <w:lang w:val="en-US"/>
              </w:rPr>
              <w:t>ниво</w:t>
            </w:r>
            <w:proofErr w:type="spellEnd"/>
            <w:r>
              <w:rPr>
                <w:sz w:val="20"/>
                <w:lang w:val="en-US"/>
              </w:rPr>
              <w:t xml:space="preserve"> и </w:t>
            </w:r>
            <w:proofErr w:type="spellStart"/>
            <w:r>
              <w:rPr>
                <w:sz w:val="20"/>
                <w:lang w:val="en-US"/>
              </w:rPr>
              <w:t>подобрување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вклученоста</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граѓаните</w:t>
            </w:r>
            <w:proofErr w:type="spellEnd"/>
            <w:r>
              <w:rPr>
                <w:sz w:val="20"/>
                <w:lang w:val="en-US"/>
              </w:rPr>
              <w:t xml:space="preserve"> </w:t>
            </w:r>
            <w:proofErr w:type="spellStart"/>
            <w:r>
              <w:rPr>
                <w:sz w:val="20"/>
                <w:lang w:val="en-US"/>
              </w:rPr>
              <w:t>преку</w:t>
            </w:r>
            <w:proofErr w:type="spellEnd"/>
            <w:r>
              <w:rPr>
                <w:sz w:val="20"/>
                <w:lang w:val="en-US"/>
              </w:rPr>
              <w:t xml:space="preserve"> </w:t>
            </w:r>
            <w:proofErr w:type="spellStart"/>
            <w:r>
              <w:rPr>
                <w:sz w:val="20"/>
                <w:lang w:val="en-US"/>
              </w:rPr>
              <w:t>иновативни</w:t>
            </w:r>
            <w:proofErr w:type="spellEnd"/>
            <w:r>
              <w:rPr>
                <w:sz w:val="20"/>
                <w:lang w:val="en-US"/>
              </w:rPr>
              <w:t xml:space="preserve"> </w:t>
            </w:r>
            <w:proofErr w:type="spellStart"/>
            <w:r>
              <w:rPr>
                <w:sz w:val="20"/>
                <w:lang w:val="en-US"/>
              </w:rPr>
              <w:t>механизми</w:t>
            </w:r>
            <w:proofErr w:type="spellEnd"/>
            <w:r>
              <w:rPr>
                <w:sz w:val="20"/>
                <w:lang w:val="en-US"/>
              </w:rPr>
              <w:t xml:space="preserve"> и </w:t>
            </w:r>
            <w:proofErr w:type="spellStart"/>
            <w:r>
              <w:rPr>
                <w:sz w:val="20"/>
                <w:lang w:val="en-US"/>
              </w:rPr>
              <w:t>алатки</w:t>
            </w:r>
            <w:proofErr w:type="spellEnd"/>
          </w:p>
        </w:tc>
        <w:tc>
          <w:tcPr>
            <w:tcW w:w="495" w:type="dxa"/>
            <w:shd w:val="clear" w:color="auto" w:fill="FFFFFF"/>
            <w:vAlign w:val="center"/>
          </w:tcPr>
          <w:p w14:paraId="585337B8" w14:textId="77777777" w:rsidR="00A52A9A" w:rsidRDefault="00A52A9A" w:rsidP="00A86A0C">
            <w:pPr>
              <w:pStyle w:val="TableContents"/>
              <w:jc w:val="both"/>
            </w:pPr>
          </w:p>
        </w:tc>
        <w:tc>
          <w:tcPr>
            <w:tcW w:w="495" w:type="dxa"/>
            <w:shd w:val="clear" w:color="auto" w:fill="2E74B5"/>
            <w:vAlign w:val="center"/>
          </w:tcPr>
          <w:p w14:paraId="0B8D7C97" w14:textId="77777777" w:rsidR="00A52A9A" w:rsidRDefault="00A52A9A" w:rsidP="00A86A0C">
            <w:pPr>
              <w:pStyle w:val="TableContents"/>
              <w:jc w:val="both"/>
            </w:pPr>
          </w:p>
        </w:tc>
        <w:tc>
          <w:tcPr>
            <w:tcW w:w="491" w:type="dxa"/>
            <w:shd w:val="clear" w:color="auto" w:fill="FFFFFF"/>
            <w:vAlign w:val="center"/>
          </w:tcPr>
          <w:p w14:paraId="4DF1722A" w14:textId="77777777" w:rsidR="00A52A9A" w:rsidRDefault="00A52A9A" w:rsidP="00A86A0C">
            <w:pPr>
              <w:pStyle w:val="TableContents"/>
              <w:jc w:val="both"/>
            </w:pPr>
          </w:p>
        </w:tc>
        <w:tc>
          <w:tcPr>
            <w:tcW w:w="492" w:type="dxa"/>
            <w:shd w:val="clear" w:color="auto" w:fill="FFFFFF"/>
            <w:vAlign w:val="center"/>
          </w:tcPr>
          <w:p w14:paraId="42B58FC5" w14:textId="77777777" w:rsidR="00A52A9A" w:rsidRDefault="00A52A9A" w:rsidP="00A86A0C">
            <w:pPr>
              <w:pStyle w:val="TableContents"/>
              <w:jc w:val="both"/>
            </w:pPr>
          </w:p>
        </w:tc>
        <w:tc>
          <w:tcPr>
            <w:tcW w:w="1326" w:type="dxa"/>
            <w:shd w:val="clear" w:color="auto" w:fill="FFFFFF"/>
            <w:vAlign w:val="center"/>
          </w:tcPr>
          <w:p w14:paraId="4A596297" w14:textId="77777777" w:rsidR="00A52A9A" w:rsidRDefault="00A52A9A" w:rsidP="00A86A0C">
            <w:pPr>
              <w:pStyle w:val="TableContents"/>
              <w:jc w:val="both"/>
            </w:pPr>
            <w:r>
              <w:rPr>
                <w:sz w:val="20"/>
                <w:lang w:val="en-US"/>
              </w:rPr>
              <w:t>30.09.2023</w:t>
            </w:r>
          </w:p>
        </w:tc>
      </w:tr>
      <w:tr w:rsidR="00A52A9A" w14:paraId="4B8A1314" w14:textId="77777777" w:rsidTr="00880D6C">
        <w:tblPrEx>
          <w:tblCellMar>
            <w:left w:w="0" w:type="dxa"/>
          </w:tblCellMar>
        </w:tblPrEx>
        <w:tc>
          <w:tcPr>
            <w:tcW w:w="5911" w:type="dxa"/>
            <w:shd w:val="clear" w:color="auto" w:fill="DDD9C3"/>
          </w:tcPr>
          <w:p w14:paraId="36CE60EA" w14:textId="77777777" w:rsidR="00A52A9A" w:rsidRDefault="00A52A9A" w:rsidP="00A86A0C">
            <w:pPr>
              <w:pStyle w:val="TableContents"/>
              <w:jc w:val="both"/>
            </w:pPr>
            <w:r>
              <w:rPr>
                <w:b/>
                <w:sz w:val="20"/>
              </w:rPr>
              <w:t>2. Спречување на корупција и промовирање на добро владеење</w:t>
            </w:r>
          </w:p>
        </w:tc>
        <w:tc>
          <w:tcPr>
            <w:tcW w:w="1973" w:type="dxa"/>
            <w:gridSpan w:val="4"/>
            <w:shd w:val="clear" w:color="auto" w:fill="DDD9C3"/>
          </w:tcPr>
          <w:p w14:paraId="2668C36E" w14:textId="77777777" w:rsidR="00A52A9A" w:rsidRDefault="00A52A9A" w:rsidP="00A86A0C">
            <w:pPr>
              <w:pStyle w:val="TableContents"/>
              <w:jc w:val="both"/>
            </w:pPr>
          </w:p>
        </w:tc>
        <w:tc>
          <w:tcPr>
            <w:tcW w:w="1326" w:type="dxa"/>
            <w:shd w:val="clear" w:color="auto" w:fill="DDD9C3"/>
          </w:tcPr>
          <w:p w14:paraId="1C1E254F" w14:textId="77777777" w:rsidR="00A52A9A" w:rsidRDefault="00A52A9A" w:rsidP="00A86A0C">
            <w:pPr>
              <w:pStyle w:val="TableContents"/>
              <w:jc w:val="both"/>
            </w:pPr>
          </w:p>
        </w:tc>
      </w:tr>
      <w:tr w:rsidR="00A52A9A" w14:paraId="74CD2590" w14:textId="77777777" w:rsidTr="00880D6C">
        <w:trPr>
          <w:trHeight w:val="735"/>
        </w:trPr>
        <w:tc>
          <w:tcPr>
            <w:tcW w:w="5911" w:type="dxa"/>
            <w:shd w:val="clear" w:color="auto" w:fill="FFFFFF"/>
          </w:tcPr>
          <w:p w14:paraId="0B0AB5C5" w14:textId="77777777" w:rsidR="00A52A9A" w:rsidRDefault="00A52A9A" w:rsidP="00A86A0C">
            <w:pPr>
              <w:pStyle w:val="TableContents"/>
              <w:jc w:val="both"/>
            </w:pPr>
            <w:r>
              <w:rPr>
                <w:sz w:val="20"/>
                <w:lang w:val="en-US"/>
              </w:rPr>
              <w:t xml:space="preserve">2.1 </w:t>
            </w:r>
            <w:proofErr w:type="spellStart"/>
            <w:r>
              <w:rPr>
                <w:sz w:val="20"/>
                <w:lang w:val="en-US"/>
              </w:rPr>
              <w:t>Јавните</w:t>
            </w:r>
            <w:proofErr w:type="spellEnd"/>
            <w:r>
              <w:rPr>
                <w:sz w:val="20"/>
                <w:lang w:val="en-US"/>
              </w:rPr>
              <w:t xml:space="preserve"> </w:t>
            </w:r>
            <w:proofErr w:type="spellStart"/>
            <w:r>
              <w:rPr>
                <w:sz w:val="20"/>
                <w:lang w:val="en-US"/>
              </w:rPr>
              <w:t>набавки</w:t>
            </w:r>
            <w:proofErr w:type="spellEnd"/>
            <w:r>
              <w:rPr>
                <w:sz w:val="20"/>
                <w:lang w:val="en-US"/>
              </w:rPr>
              <w:t xml:space="preserve"> </w:t>
            </w:r>
            <w:proofErr w:type="spellStart"/>
            <w:r>
              <w:rPr>
                <w:sz w:val="20"/>
                <w:lang w:val="en-US"/>
              </w:rPr>
              <w:t>како</w:t>
            </w:r>
            <w:proofErr w:type="spellEnd"/>
            <w:r>
              <w:rPr>
                <w:sz w:val="20"/>
                <w:lang w:val="en-US"/>
              </w:rPr>
              <w:t xml:space="preserve"> </w:t>
            </w:r>
            <w:proofErr w:type="spellStart"/>
            <w:r>
              <w:rPr>
                <w:sz w:val="20"/>
                <w:lang w:val="en-US"/>
              </w:rPr>
              <w:t>отворени</w:t>
            </w:r>
            <w:proofErr w:type="spellEnd"/>
            <w:r>
              <w:rPr>
                <w:sz w:val="20"/>
                <w:lang w:val="en-US"/>
              </w:rPr>
              <w:t xml:space="preserve"> </w:t>
            </w:r>
            <w:proofErr w:type="spellStart"/>
            <w:r>
              <w:rPr>
                <w:sz w:val="20"/>
                <w:lang w:val="en-US"/>
              </w:rPr>
              <w:t>податоци</w:t>
            </w:r>
            <w:proofErr w:type="spellEnd"/>
          </w:p>
        </w:tc>
        <w:tc>
          <w:tcPr>
            <w:tcW w:w="495" w:type="dxa"/>
            <w:shd w:val="clear" w:color="auto" w:fill="FFFFFF"/>
          </w:tcPr>
          <w:p w14:paraId="34EBEF54" w14:textId="77777777" w:rsidR="00A52A9A" w:rsidRDefault="00A52A9A" w:rsidP="00A86A0C">
            <w:pPr>
              <w:pStyle w:val="TableContents"/>
              <w:jc w:val="both"/>
            </w:pPr>
          </w:p>
        </w:tc>
        <w:tc>
          <w:tcPr>
            <w:tcW w:w="495" w:type="dxa"/>
            <w:shd w:val="clear" w:color="auto" w:fill="FFFFFF"/>
          </w:tcPr>
          <w:p w14:paraId="5A493C29" w14:textId="77777777" w:rsidR="00A52A9A" w:rsidRDefault="00A52A9A" w:rsidP="00A86A0C">
            <w:pPr>
              <w:pStyle w:val="TableContents"/>
              <w:jc w:val="both"/>
            </w:pPr>
          </w:p>
        </w:tc>
        <w:tc>
          <w:tcPr>
            <w:tcW w:w="491" w:type="dxa"/>
            <w:shd w:val="clear" w:color="auto" w:fill="FFFFFF"/>
          </w:tcPr>
          <w:p w14:paraId="4695D825" w14:textId="77777777" w:rsidR="00A52A9A" w:rsidRDefault="00A52A9A" w:rsidP="00A86A0C">
            <w:pPr>
              <w:pStyle w:val="TableContents"/>
              <w:jc w:val="both"/>
            </w:pPr>
          </w:p>
        </w:tc>
        <w:tc>
          <w:tcPr>
            <w:tcW w:w="492" w:type="dxa"/>
            <w:shd w:val="clear" w:color="auto" w:fill="2E74B5"/>
          </w:tcPr>
          <w:p w14:paraId="7D91E8D1" w14:textId="77777777" w:rsidR="00A52A9A" w:rsidRDefault="00A52A9A" w:rsidP="00A86A0C">
            <w:pPr>
              <w:pStyle w:val="TableContents"/>
              <w:jc w:val="both"/>
            </w:pPr>
          </w:p>
        </w:tc>
        <w:tc>
          <w:tcPr>
            <w:tcW w:w="1326" w:type="dxa"/>
            <w:shd w:val="clear" w:color="auto" w:fill="FFFFFF"/>
          </w:tcPr>
          <w:p w14:paraId="619D90E9" w14:textId="77777777" w:rsidR="00A52A9A" w:rsidRDefault="00A52A9A" w:rsidP="00A86A0C">
            <w:pPr>
              <w:pStyle w:val="TableContents"/>
              <w:jc w:val="both"/>
            </w:pPr>
            <w:r>
              <w:rPr>
                <w:sz w:val="20"/>
                <w:lang w:val="en-US"/>
              </w:rPr>
              <w:t>31.08.2023</w:t>
            </w:r>
          </w:p>
        </w:tc>
      </w:tr>
      <w:tr w:rsidR="00A52A9A" w14:paraId="20055329" w14:textId="77777777" w:rsidTr="00880D6C">
        <w:trPr>
          <w:trHeight w:val="735"/>
        </w:trPr>
        <w:tc>
          <w:tcPr>
            <w:tcW w:w="5911" w:type="dxa"/>
            <w:shd w:val="clear" w:color="auto" w:fill="FFFFFF"/>
            <w:vAlign w:val="center"/>
          </w:tcPr>
          <w:p w14:paraId="7D270D3B" w14:textId="77777777" w:rsidR="00A52A9A" w:rsidRDefault="00A52A9A" w:rsidP="00A86A0C">
            <w:pPr>
              <w:pStyle w:val="TableContents"/>
              <w:jc w:val="both"/>
            </w:pPr>
            <w:r>
              <w:rPr>
                <w:sz w:val="20"/>
                <w:lang w:val="en-US"/>
              </w:rPr>
              <w:t xml:space="preserve">2.2 </w:t>
            </w:r>
            <w:proofErr w:type="spellStart"/>
            <w:r>
              <w:rPr>
                <w:sz w:val="20"/>
                <w:lang w:val="en-US"/>
              </w:rPr>
              <w:t>Унапреден</w:t>
            </w:r>
            <w:proofErr w:type="spellEnd"/>
            <w:r>
              <w:rPr>
                <w:sz w:val="20"/>
                <w:lang w:val="en-US"/>
              </w:rPr>
              <w:t xml:space="preserve"> </w:t>
            </w:r>
            <w:proofErr w:type="spellStart"/>
            <w:r>
              <w:rPr>
                <w:sz w:val="20"/>
                <w:lang w:val="en-US"/>
              </w:rPr>
              <w:t>механизам</w:t>
            </w:r>
            <w:proofErr w:type="spellEnd"/>
            <w:r>
              <w:rPr>
                <w:sz w:val="20"/>
                <w:lang w:val="en-US"/>
              </w:rPr>
              <w:t xml:space="preserve"> </w:t>
            </w:r>
            <w:proofErr w:type="spellStart"/>
            <w:r>
              <w:rPr>
                <w:sz w:val="20"/>
                <w:lang w:val="en-US"/>
              </w:rPr>
              <w:t>за</w:t>
            </w:r>
            <w:proofErr w:type="spellEnd"/>
            <w:r>
              <w:rPr>
                <w:sz w:val="20"/>
                <w:lang w:val="en-US"/>
              </w:rPr>
              <w:t xml:space="preserve"> </w:t>
            </w:r>
            <w:proofErr w:type="spellStart"/>
            <w:r>
              <w:rPr>
                <w:sz w:val="20"/>
                <w:lang w:val="en-US"/>
              </w:rPr>
              <w:t>следење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имотната</w:t>
            </w:r>
            <w:proofErr w:type="spellEnd"/>
            <w:r>
              <w:rPr>
                <w:sz w:val="20"/>
                <w:lang w:val="en-US"/>
              </w:rPr>
              <w:t xml:space="preserve"> </w:t>
            </w:r>
            <w:proofErr w:type="spellStart"/>
            <w:r>
              <w:rPr>
                <w:sz w:val="20"/>
                <w:lang w:val="en-US"/>
              </w:rPr>
              <w:t>состојба</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избраните</w:t>
            </w:r>
            <w:proofErr w:type="spellEnd"/>
            <w:r>
              <w:rPr>
                <w:sz w:val="20"/>
                <w:lang w:val="en-US"/>
              </w:rPr>
              <w:t xml:space="preserve"> и </w:t>
            </w:r>
            <w:proofErr w:type="spellStart"/>
            <w:r>
              <w:rPr>
                <w:sz w:val="20"/>
                <w:lang w:val="en-US"/>
              </w:rPr>
              <w:t>именуваните</w:t>
            </w:r>
            <w:proofErr w:type="spellEnd"/>
            <w:r>
              <w:rPr>
                <w:sz w:val="20"/>
                <w:lang w:val="en-US"/>
              </w:rPr>
              <w:t xml:space="preserve"> </w:t>
            </w:r>
            <w:proofErr w:type="spellStart"/>
            <w:r>
              <w:rPr>
                <w:sz w:val="20"/>
                <w:lang w:val="en-US"/>
              </w:rPr>
              <w:t>лица</w:t>
            </w:r>
            <w:proofErr w:type="spellEnd"/>
          </w:p>
        </w:tc>
        <w:tc>
          <w:tcPr>
            <w:tcW w:w="495" w:type="dxa"/>
            <w:shd w:val="clear" w:color="auto" w:fill="2E74B5"/>
            <w:vAlign w:val="center"/>
          </w:tcPr>
          <w:p w14:paraId="5E337D74" w14:textId="77777777" w:rsidR="00A52A9A" w:rsidRDefault="00A52A9A" w:rsidP="00A86A0C">
            <w:pPr>
              <w:pStyle w:val="TableContents"/>
              <w:jc w:val="both"/>
            </w:pPr>
          </w:p>
        </w:tc>
        <w:tc>
          <w:tcPr>
            <w:tcW w:w="495" w:type="dxa"/>
            <w:shd w:val="clear" w:color="auto" w:fill="FFFFFF"/>
            <w:vAlign w:val="center"/>
          </w:tcPr>
          <w:p w14:paraId="7860B011" w14:textId="77777777" w:rsidR="00A52A9A" w:rsidRDefault="00A52A9A" w:rsidP="00A86A0C">
            <w:pPr>
              <w:pStyle w:val="TableContents"/>
              <w:jc w:val="both"/>
            </w:pPr>
          </w:p>
        </w:tc>
        <w:tc>
          <w:tcPr>
            <w:tcW w:w="491" w:type="dxa"/>
            <w:shd w:val="clear" w:color="auto" w:fill="FFFFFF"/>
            <w:vAlign w:val="center"/>
          </w:tcPr>
          <w:p w14:paraId="304F6FB7" w14:textId="77777777" w:rsidR="00A52A9A" w:rsidRDefault="00A52A9A" w:rsidP="00A86A0C">
            <w:pPr>
              <w:pStyle w:val="TableContents"/>
              <w:jc w:val="both"/>
            </w:pPr>
          </w:p>
        </w:tc>
        <w:tc>
          <w:tcPr>
            <w:tcW w:w="492" w:type="dxa"/>
            <w:shd w:val="clear" w:color="auto" w:fill="FFFFFF"/>
            <w:vAlign w:val="center"/>
          </w:tcPr>
          <w:p w14:paraId="727D9CEA" w14:textId="77777777" w:rsidR="00A52A9A" w:rsidRDefault="00A52A9A" w:rsidP="00A86A0C">
            <w:pPr>
              <w:pStyle w:val="TableContents"/>
              <w:jc w:val="both"/>
            </w:pPr>
          </w:p>
        </w:tc>
        <w:tc>
          <w:tcPr>
            <w:tcW w:w="1326" w:type="dxa"/>
            <w:shd w:val="clear" w:color="auto" w:fill="FFFFFF"/>
            <w:vAlign w:val="center"/>
          </w:tcPr>
          <w:p w14:paraId="57F9AA41" w14:textId="77777777" w:rsidR="00A52A9A" w:rsidRDefault="00A52A9A" w:rsidP="00A86A0C">
            <w:pPr>
              <w:pStyle w:val="TableContents"/>
              <w:jc w:val="both"/>
            </w:pPr>
            <w:r>
              <w:rPr>
                <w:sz w:val="20"/>
                <w:lang w:val="en-US"/>
              </w:rPr>
              <w:t>31.08.2023</w:t>
            </w:r>
          </w:p>
        </w:tc>
      </w:tr>
      <w:tr w:rsidR="00A52A9A" w14:paraId="4DD69275" w14:textId="77777777" w:rsidTr="00880D6C">
        <w:trPr>
          <w:trHeight w:val="735"/>
        </w:trPr>
        <w:tc>
          <w:tcPr>
            <w:tcW w:w="5911" w:type="dxa"/>
            <w:shd w:val="clear" w:color="auto" w:fill="FFFFFF"/>
            <w:vAlign w:val="center"/>
          </w:tcPr>
          <w:p w14:paraId="075413AE" w14:textId="77777777" w:rsidR="00A52A9A" w:rsidRDefault="00A52A9A" w:rsidP="00A86A0C">
            <w:pPr>
              <w:pStyle w:val="TableContents"/>
              <w:jc w:val="both"/>
            </w:pPr>
            <w:r>
              <w:rPr>
                <w:sz w:val="20"/>
                <w:lang w:val="en-US"/>
              </w:rPr>
              <w:t xml:space="preserve">2.3 </w:t>
            </w:r>
            <w:proofErr w:type="spellStart"/>
            <w:r>
              <w:rPr>
                <w:sz w:val="20"/>
                <w:lang w:val="en-US"/>
              </w:rPr>
              <w:t>Јавно</w:t>
            </w:r>
            <w:proofErr w:type="spellEnd"/>
            <w:r>
              <w:rPr>
                <w:sz w:val="20"/>
                <w:lang w:val="en-US"/>
              </w:rPr>
              <w:t xml:space="preserve"> </w:t>
            </w:r>
            <w:proofErr w:type="spellStart"/>
            <w:r>
              <w:rPr>
                <w:sz w:val="20"/>
                <w:lang w:val="en-US"/>
              </w:rPr>
              <w:t>објавување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предметите</w:t>
            </w:r>
            <w:proofErr w:type="spellEnd"/>
            <w:r>
              <w:rPr>
                <w:sz w:val="20"/>
                <w:lang w:val="en-US"/>
              </w:rPr>
              <w:t xml:space="preserve"> </w:t>
            </w:r>
            <w:proofErr w:type="spellStart"/>
            <w:r>
              <w:rPr>
                <w:sz w:val="20"/>
                <w:lang w:val="en-US"/>
              </w:rPr>
              <w:t>за</w:t>
            </w:r>
            <w:proofErr w:type="spellEnd"/>
            <w:r>
              <w:rPr>
                <w:sz w:val="20"/>
                <w:lang w:val="en-US"/>
              </w:rPr>
              <w:t xml:space="preserve"> </w:t>
            </w:r>
            <w:proofErr w:type="spellStart"/>
            <w:r>
              <w:rPr>
                <w:sz w:val="20"/>
                <w:lang w:val="en-US"/>
              </w:rPr>
              <w:t>изборот</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избрани</w:t>
            </w:r>
            <w:proofErr w:type="spellEnd"/>
            <w:r>
              <w:rPr>
                <w:sz w:val="20"/>
                <w:lang w:val="en-US"/>
              </w:rPr>
              <w:t xml:space="preserve"> / </w:t>
            </w:r>
            <w:proofErr w:type="spellStart"/>
            <w:r>
              <w:rPr>
                <w:sz w:val="20"/>
                <w:lang w:val="en-US"/>
              </w:rPr>
              <w:t>именувани</w:t>
            </w:r>
            <w:proofErr w:type="spellEnd"/>
            <w:r>
              <w:rPr>
                <w:sz w:val="20"/>
                <w:lang w:val="en-US"/>
              </w:rPr>
              <w:t xml:space="preserve"> </w:t>
            </w:r>
            <w:proofErr w:type="spellStart"/>
            <w:r>
              <w:rPr>
                <w:sz w:val="20"/>
                <w:lang w:val="en-US"/>
              </w:rPr>
              <w:t>лица</w:t>
            </w:r>
            <w:proofErr w:type="spellEnd"/>
            <w:r>
              <w:rPr>
                <w:sz w:val="20"/>
                <w:lang w:val="en-US"/>
              </w:rPr>
              <w:t xml:space="preserve"> </w:t>
            </w:r>
            <w:proofErr w:type="spellStart"/>
            <w:r>
              <w:rPr>
                <w:sz w:val="20"/>
                <w:lang w:val="en-US"/>
              </w:rPr>
              <w:t>од</w:t>
            </w:r>
            <w:proofErr w:type="spellEnd"/>
            <w:r>
              <w:rPr>
                <w:sz w:val="20"/>
                <w:lang w:val="en-US"/>
              </w:rPr>
              <w:t xml:space="preserve"> </w:t>
            </w:r>
            <w:proofErr w:type="spellStart"/>
            <w:r>
              <w:rPr>
                <w:sz w:val="20"/>
                <w:lang w:val="en-US"/>
              </w:rPr>
              <w:t>Владата</w:t>
            </w:r>
            <w:proofErr w:type="spellEnd"/>
            <w:r>
              <w:rPr>
                <w:sz w:val="20"/>
                <w:lang w:val="en-US"/>
              </w:rPr>
              <w:t xml:space="preserve"> </w:t>
            </w:r>
            <w:proofErr w:type="spellStart"/>
            <w:r>
              <w:rPr>
                <w:sz w:val="20"/>
                <w:lang w:val="en-US"/>
              </w:rPr>
              <w:t>на</w:t>
            </w:r>
            <w:proofErr w:type="spellEnd"/>
            <w:r>
              <w:rPr>
                <w:sz w:val="20"/>
                <w:lang w:val="en-US"/>
              </w:rPr>
              <w:t xml:space="preserve"> РСМ </w:t>
            </w:r>
            <w:proofErr w:type="spellStart"/>
            <w:r>
              <w:rPr>
                <w:sz w:val="20"/>
                <w:lang w:val="en-US"/>
              </w:rPr>
              <w:t>како</w:t>
            </w:r>
            <w:proofErr w:type="spellEnd"/>
            <w:r>
              <w:rPr>
                <w:sz w:val="20"/>
                <w:lang w:val="en-US"/>
              </w:rPr>
              <w:t xml:space="preserve"> </w:t>
            </w:r>
            <w:proofErr w:type="spellStart"/>
            <w:r>
              <w:rPr>
                <w:sz w:val="20"/>
                <w:lang w:val="en-US"/>
              </w:rPr>
              <w:t>раководители</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институции</w:t>
            </w:r>
            <w:proofErr w:type="spellEnd"/>
          </w:p>
        </w:tc>
        <w:tc>
          <w:tcPr>
            <w:tcW w:w="495" w:type="dxa"/>
            <w:shd w:val="clear" w:color="auto" w:fill="FFFFFF"/>
            <w:vAlign w:val="center"/>
          </w:tcPr>
          <w:p w14:paraId="3F83AE23" w14:textId="77777777" w:rsidR="00A52A9A" w:rsidRDefault="00A52A9A" w:rsidP="00A86A0C">
            <w:pPr>
              <w:pStyle w:val="TableContents"/>
              <w:jc w:val="both"/>
            </w:pPr>
          </w:p>
        </w:tc>
        <w:tc>
          <w:tcPr>
            <w:tcW w:w="495" w:type="dxa"/>
            <w:shd w:val="clear" w:color="auto" w:fill="FFFFFF"/>
            <w:vAlign w:val="center"/>
          </w:tcPr>
          <w:p w14:paraId="39BC49D6" w14:textId="77777777" w:rsidR="00A52A9A" w:rsidRDefault="00A52A9A" w:rsidP="00A86A0C">
            <w:pPr>
              <w:pStyle w:val="TableContents"/>
              <w:jc w:val="both"/>
            </w:pPr>
          </w:p>
        </w:tc>
        <w:tc>
          <w:tcPr>
            <w:tcW w:w="491" w:type="dxa"/>
            <w:shd w:val="clear" w:color="auto" w:fill="2E74B5"/>
            <w:vAlign w:val="center"/>
          </w:tcPr>
          <w:p w14:paraId="07695769" w14:textId="77777777" w:rsidR="00A52A9A" w:rsidRDefault="00A52A9A" w:rsidP="00A86A0C">
            <w:pPr>
              <w:pStyle w:val="TableContents"/>
              <w:jc w:val="both"/>
            </w:pPr>
          </w:p>
        </w:tc>
        <w:tc>
          <w:tcPr>
            <w:tcW w:w="492" w:type="dxa"/>
            <w:shd w:val="clear" w:color="auto" w:fill="FFFFFF"/>
            <w:vAlign w:val="center"/>
          </w:tcPr>
          <w:p w14:paraId="6F4B0140" w14:textId="77777777" w:rsidR="00A52A9A" w:rsidRDefault="00A52A9A" w:rsidP="00A86A0C">
            <w:pPr>
              <w:pStyle w:val="TableContents"/>
              <w:jc w:val="both"/>
            </w:pPr>
          </w:p>
        </w:tc>
        <w:tc>
          <w:tcPr>
            <w:tcW w:w="1326" w:type="dxa"/>
            <w:shd w:val="clear" w:color="auto" w:fill="FFFFFF"/>
            <w:vAlign w:val="center"/>
          </w:tcPr>
          <w:p w14:paraId="2B7BF79A" w14:textId="77777777" w:rsidR="00A52A9A" w:rsidRDefault="00A52A9A" w:rsidP="00A86A0C">
            <w:pPr>
              <w:pStyle w:val="TableContents"/>
              <w:jc w:val="both"/>
            </w:pPr>
            <w:r>
              <w:rPr>
                <w:sz w:val="20"/>
                <w:lang w:val="en-US"/>
              </w:rPr>
              <w:t>31.08.2023</w:t>
            </w:r>
          </w:p>
        </w:tc>
      </w:tr>
      <w:tr w:rsidR="00A52A9A" w14:paraId="28E245FD" w14:textId="77777777" w:rsidTr="00880D6C">
        <w:tblPrEx>
          <w:tblCellMar>
            <w:left w:w="0" w:type="dxa"/>
          </w:tblCellMar>
        </w:tblPrEx>
        <w:tc>
          <w:tcPr>
            <w:tcW w:w="5911" w:type="dxa"/>
            <w:shd w:val="clear" w:color="auto" w:fill="DDD9C3"/>
          </w:tcPr>
          <w:p w14:paraId="3BBD5F3B" w14:textId="77777777" w:rsidR="00A52A9A" w:rsidRDefault="00A52A9A" w:rsidP="00A86A0C">
            <w:pPr>
              <w:pStyle w:val="TableContents"/>
              <w:jc w:val="both"/>
            </w:pPr>
            <w:r>
              <w:rPr>
                <w:b/>
                <w:sz w:val="20"/>
              </w:rPr>
              <w:t>3. Унапредување на испорака на јавни услуги</w:t>
            </w:r>
          </w:p>
        </w:tc>
        <w:tc>
          <w:tcPr>
            <w:tcW w:w="1973" w:type="dxa"/>
            <w:gridSpan w:val="4"/>
            <w:shd w:val="clear" w:color="auto" w:fill="DDD9C3"/>
          </w:tcPr>
          <w:p w14:paraId="6AFB3445" w14:textId="77777777" w:rsidR="00A52A9A" w:rsidRDefault="00A52A9A" w:rsidP="00A86A0C">
            <w:pPr>
              <w:pStyle w:val="TableContents"/>
              <w:jc w:val="both"/>
            </w:pPr>
          </w:p>
        </w:tc>
        <w:tc>
          <w:tcPr>
            <w:tcW w:w="1326" w:type="dxa"/>
            <w:shd w:val="clear" w:color="auto" w:fill="DDD9C3"/>
          </w:tcPr>
          <w:p w14:paraId="4211331A" w14:textId="77777777" w:rsidR="00A52A9A" w:rsidRDefault="00A52A9A" w:rsidP="00A86A0C">
            <w:pPr>
              <w:pStyle w:val="TableContents"/>
              <w:jc w:val="both"/>
            </w:pPr>
          </w:p>
        </w:tc>
      </w:tr>
      <w:tr w:rsidR="00A52A9A" w14:paraId="3171C4B4" w14:textId="77777777" w:rsidTr="00880D6C">
        <w:trPr>
          <w:trHeight w:val="735"/>
        </w:trPr>
        <w:tc>
          <w:tcPr>
            <w:tcW w:w="5911" w:type="dxa"/>
            <w:shd w:val="clear" w:color="auto" w:fill="FFFFFF"/>
          </w:tcPr>
          <w:p w14:paraId="0BA3B0B6" w14:textId="77777777" w:rsidR="00A52A9A" w:rsidRDefault="00A52A9A" w:rsidP="00A86A0C">
            <w:pPr>
              <w:pStyle w:val="TableContents"/>
              <w:jc w:val="both"/>
            </w:pPr>
            <w:r>
              <w:rPr>
                <w:sz w:val="20"/>
                <w:lang w:val="en-US"/>
              </w:rPr>
              <w:t xml:space="preserve">3.1 </w:t>
            </w:r>
            <w:proofErr w:type="spellStart"/>
            <w:r>
              <w:rPr>
                <w:sz w:val="20"/>
                <w:lang w:val="en-US"/>
              </w:rPr>
              <w:t>Јавни</w:t>
            </w:r>
            <w:proofErr w:type="spellEnd"/>
            <w:r>
              <w:rPr>
                <w:sz w:val="20"/>
                <w:lang w:val="en-US"/>
              </w:rPr>
              <w:t xml:space="preserve"> </w:t>
            </w:r>
            <w:proofErr w:type="spellStart"/>
            <w:r>
              <w:rPr>
                <w:sz w:val="20"/>
                <w:lang w:val="en-US"/>
              </w:rPr>
              <w:t>услуги</w:t>
            </w:r>
            <w:proofErr w:type="spellEnd"/>
            <w:r>
              <w:rPr>
                <w:sz w:val="20"/>
                <w:lang w:val="en-US"/>
              </w:rPr>
              <w:t xml:space="preserve"> и </w:t>
            </w:r>
            <w:proofErr w:type="spellStart"/>
            <w:r>
              <w:rPr>
                <w:sz w:val="20"/>
                <w:lang w:val="en-US"/>
              </w:rPr>
              <w:t>политики</w:t>
            </w:r>
            <w:proofErr w:type="spellEnd"/>
            <w:r>
              <w:rPr>
                <w:sz w:val="20"/>
                <w:lang w:val="en-US"/>
              </w:rPr>
              <w:t xml:space="preserve"> </w:t>
            </w:r>
            <w:proofErr w:type="spellStart"/>
            <w:r>
              <w:rPr>
                <w:sz w:val="20"/>
                <w:lang w:val="en-US"/>
              </w:rPr>
              <w:t>темелени</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граѓанските</w:t>
            </w:r>
            <w:proofErr w:type="spellEnd"/>
            <w:r>
              <w:rPr>
                <w:sz w:val="20"/>
                <w:lang w:val="en-US"/>
              </w:rPr>
              <w:t xml:space="preserve"> </w:t>
            </w:r>
            <w:proofErr w:type="spellStart"/>
            <w:r>
              <w:rPr>
                <w:sz w:val="20"/>
                <w:lang w:val="en-US"/>
              </w:rPr>
              <w:t>приоритети</w:t>
            </w:r>
            <w:proofErr w:type="spellEnd"/>
            <w:r>
              <w:rPr>
                <w:sz w:val="20"/>
                <w:lang w:val="en-US"/>
              </w:rPr>
              <w:t xml:space="preserve"> </w:t>
            </w:r>
            <w:proofErr w:type="spellStart"/>
            <w:r>
              <w:rPr>
                <w:sz w:val="20"/>
                <w:lang w:val="en-US"/>
              </w:rPr>
              <w:t>од</w:t>
            </w:r>
            <w:proofErr w:type="spellEnd"/>
            <w:r>
              <w:rPr>
                <w:sz w:val="20"/>
                <w:lang w:val="en-US"/>
              </w:rPr>
              <w:t xml:space="preserve"> </w:t>
            </w:r>
            <w:proofErr w:type="spellStart"/>
            <w:r>
              <w:rPr>
                <w:sz w:val="20"/>
                <w:lang w:val="en-US"/>
              </w:rPr>
              <w:t>областа</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вработувањето</w:t>
            </w:r>
            <w:proofErr w:type="spellEnd"/>
          </w:p>
        </w:tc>
        <w:tc>
          <w:tcPr>
            <w:tcW w:w="495" w:type="dxa"/>
            <w:shd w:val="clear" w:color="auto" w:fill="FFFFFF"/>
          </w:tcPr>
          <w:p w14:paraId="21BEF9A1" w14:textId="77777777" w:rsidR="00A52A9A" w:rsidRDefault="00A52A9A" w:rsidP="00A86A0C">
            <w:pPr>
              <w:pStyle w:val="TableContents"/>
              <w:jc w:val="both"/>
            </w:pPr>
          </w:p>
        </w:tc>
        <w:tc>
          <w:tcPr>
            <w:tcW w:w="495" w:type="dxa"/>
            <w:shd w:val="clear" w:color="auto" w:fill="2E74B5"/>
          </w:tcPr>
          <w:p w14:paraId="367B6237" w14:textId="77777777" w:rsidR="00A52A9A" w:rsidRDefault="00A52A9A" w:rsidP="00A86A0C">
            <w:pPr>
              <w:pStyle w:val="TableContents"/>
              <w:jc w:val="both"/>
            </w:pPr>
          </w:p>
        </w:tc>
        <w:tc>
          <w:tcPr>
            <w:tcW w:w="491" w:type="dxa"/>
            <w:shd w:val="clear" w:color="auto" w:fill="FFFFFF"/>
          </w:tcPr>
          <w:p w14:paraId="3673B1D2" w14:textId="77777777" w:rsidR="00A52A9A" w:rsidRDefault="00A52A9A" w:rsidP="00A86A0C">
            <w:pPr>
              <w:pStyle w:val="TableContents"/>
              <w:jc w:val="both"/>
            </w:pPr>
          </w:p>
        </w:tc>
        <w:tc>
          <w:tcPr>
            <w:tcW w:w="492" w:type="dxa"/>
            <w:shd w:val="clear" w:color="auto" w:fill="FFFFFF"/>
          </w:tcPr>
          <w:p w14:paraId="0F7996F7" w14:textId="77777777" w:rsidR="00A52A9A" w:rsidRDefault="00A52A9A" w:rsidP="00A86A0C">
            <w:pPr>
              <w:pStyle w:val="TableContents"/>
              <w:jc w:val="both"/>
            </w:pPr>
          </w:p>
        </w:tc>
        <w:tc>
          <w:tcPr>
            <w:tcW w:w="1326" w:type="dxa"/>
            <w:shd w:val="clear" w:color="auto" w:fill="FFFFFF"/>
          </w:tcPr>
          <w:p w14:paraId="46A134C2" w14:textId="77777777" w:rsidR="00A52A9A" w:rsidRDefault="00A52A9A" w:rsidP="00A86A0C">
            <w:pPr>
              <w:pStyle w:val="TableContents"/>
              <w:jc w:val="both"/>
            </w:pPr>
            <w:r>
              <w:rPr>
                <w:sz w:val="20"/>
                <w:lang w:val="en-US"/>
              </w:rPr>
              <w:t>30.09.2022</w:t>
            </w:r>
          </w:p>
        </w:tc>
      </w:tr>
      <w:tr w:rsidR="00A52A9A" w14:paraId="471F8EE9" w14:textId="77777777" w:rsidTr="00880D6C">
        <w:trPr>
          <w:trHeight w:val="735"/>
        </w:trPr>
        <w:tc>
          <w:tcPr>
            <w:tcW w:w="5911" w:type="dxa"/>
            <w:shd w:val="clear" w:color="auto" w:fill="FFFFFF"/>
            <w:vAlign w:val="center"/>
          </w:tcPr>
          <w:p w14:paraId="7493F924" w14:textId="77777777" w:rsidR="00A52A9A" w:rsidRDefault="00A52A9A" w:rsidP="00A86A0C">
            <w:pPr>
              <w:pStyle w:val="TableContents"/>
              <w:jc w:val="both"/>
            </w:pPr>
            <w:r>
              <w:rPr>
                <w:sz w:val="20"/>
                <w:lang w:val="en-US"/>
              </w:rPr>
              <w:t xml:space="preserve">3.2 </w:t>
            </w:r>
            <w:proofErr w:type="spellStart"/>
            <w:r>
              <w:rPr>
                <w:sz w:val="20"/>
                <w:lang w:val="en-US"/>
              </w:rPr>
              <w:t>Јавни</w:t>
            </w:r>
            <w:proofErr w:type="spellEnd"/>
            <w:r>
              <w:rPr>
                <w:sz w:val="20"/>
                <w:lang w:val="en-US"/>
              </w:rPr>
              <w:t xml:space="preserve"> </w:t>
            </w:r>
            <w:proofErr w:type="spellStart"/>
            <w:r>
              <w:rPr>
                <w:sz w:val="20"/>
                <w:lang w:val="en-US"/>
              </w:rPr>
              <w:t>услуги</w:t>
            </w:r>
            <w:proofErr w:type="spellEnd"/>
            <w:r>
              <w:rPr>
                <w:sz w:val="20"/>
                <w:lang w:val="en-US"/>
              </w:rPr>
              <w:t xml:space="preserve"> и </w:t>
            </w:r>
            <w:proofErr w:type="spellStart"/>
            <w:r>
              <w:rPr>
                <w:sz w:val="20"/>
                <w:lang w:val="en-US"/>
              </w:rPr>
              <w:t>политики</w:t>
            </w:r>
            <w:proofErr w:type="spellEnd"/>
            <w:r>
              <w:rPr>
                <w:sz w:val="20"/>
                <w:lang w:val="en-US"/>
              </w:rPr>
              <w:t xml:space="preserve"> </w:t>
            </w:r>
            <w:proofErr w:type="spellStart"/>
            <w:r>
              <w:rPr>
                <w:sz w:val="20"/>
                <w:lang w:val="en-US"/>
              </w:rPr>
              <w:t>темелени</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граѓанските</w:t>
            </w:r>
            <w:proofErr w:type="spellEnd"/>
            <w:r>
              <w:rPr>
                <w:sz w:val="20"/>
                <w:lang w:val="en-US"/>
              </w:rPr>
              <w:t xml:space="preserve"> </w:t>
            </w:r>
            <w:proofErr w:type="spellStart"/>
            <w:r>
              <w:rPr>
                <w:sz w:val="20"/>
                <w:lang w:val="en-US"/>
              </w:rPr>
              <w:t>приоритети</w:t>
            </w:r>
            <w:proofErr w:type="spellEnd"/>
            <w:r>
              <w:rPr>
                <w:sz w:val="20"/>
                <w:lang w:val="en-US"/>
              </w:rPr>
              <w:t xml:space="preserve"> </w:t>
            </w:r>
            <w:proofErr w:type="spellStart"/>
            <w:r>
              <w:rPr>
                <w:sz w:val="20"/>
                <w:lang w:val="en-US"/>
              </w:rPr>
              <w:t>од</w:t>
            </w:r>
            <w:proofErr w:type="spellEnd"/>
            <w:r>
              <w:rPr>
                <w:sz w:val="20"/>
                <w:lang w:val="en-US"/>
              </w:rPr>
              <w:t xml:space="preserve"> </w:t>
            </w:r>
            <w:proofErr w:type="spellStart"/>
            <w:r>
              <w:rPr>
                <w:sz w:val="20"/>
                <w:lang w:val="en-US"/>
              </w:rPr>
              <w:t>областа</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превентивната</w:t>
            </w:r>
            <w:proofErr w:type="spellEnd"/>
            <w:r>
              <w:rPr>
                <w:sz w:val="20"/>
                <w:lang w:val="en-US"/>
              </w:rPr>
              <w:t xml:space="preserve"> </w:t>
            </w:r>
            <w:proofErr w:type="spellStart"/>
            <w:r>
              <w:rPr>
                <w:sz w:val="20"/>
                <w:lang w:val="en-US"/>
              </w:rPr>
              <w:t>здравствена</w:t>
            </w:r>
            <w:proofErr w:type="spellEnd"/>
            <w:r>
              <w:rPr>
                <w:sz w:val="20"/>
                <w:lang w:val="en-US"/>
              </w:rPr>
              <w:t xml:space="preserve"> </w:t>
            </w:r>
            <w:proofErr w:type="spellStart"/>
            <w:r>
              <w:rPr>
                <w:sz w:val="20"/>
                <w:lang w:val="en-US"/>
              </w:rPr>
              <w:t>заштита</w:t>
            </w:r>
            <w:proofErr w:type="spellEnd"/>
          </w:p>
        </w:tc>
        <w:tc>
          <w:tcPr>
            <w:tcW w:w="495" w:type="dxa"/>
            <w:shd w:val="clear" w:color="auto" w:fill="FFFFFF"/>
            <w:vAlign w:val="center"/>
          </w:tcPr>
          <w:p w14:paraId="6BC9CC6B" w14:textId="77777777" w:rsidR="00A52A9A" w:rsidRDefault="00A52A9A" w:rsidP="00A86A0C">
            <w:pPr>
              <w:pStyle w:val="TableContents"/>
              <w:jc w:val="both"/>
            </w:pPr>
          </w:p>
        </w:tc>
        <w:tc>
          <w:tcPr>
            <w:tcW w:w="495" w:type="dxa"/>
            <w:shd w:val="clear" w:color="auto" w:fill="2E74B5"/>
            <w:vAlign w:val="center"/>
          </w:tcPr>
          <w:p w14:paraId="37B405E7" w14:textId="77777777" w:rsidR="00A52A9A" w:rsidRDefault="00A52A9A" w:rsidP="00A86A0C">
            <w:pPr>
              <w:pStyle w:val="TableContents"/>
              <w:jc w:val="both"/>
            </w:pPr>
          </w:p>
        </w:tc>
        <w:tc>
          <w:tcPr>
            <w:tcW w:w="491" w:type="dxa"/>
            <w:shd w:val="clear" w:color="auto" w:fill="FFFFFF"/>
            <w:vAlign w:val="center"/>
          </w:tcPr>
          <w:p w14:paraId="10535174" w14:textId="77777777" w:rsidR="00A52A9A" w:rsidRDefault="00A52A9A" w:rsidP="00A86A0C">
            <w:pPr>
              <w:pStyle w:val="TableContents"/>
              <w:jc w:val="both"/>
            </w:pPr>
          </w:p>
        </w:tc>
        <w:tc>
          <w:tcPr>
            <w:tcW w:w="492" w:type="dxa"/>
            <w:shd w:val="clear" w:color="auto" w:fill="FFFFFF"/>
            <w:vAlign w:val="center"/>
          </w:tcPr>
          <w:p w14:paraId="67687D25" w14:textId="77777777" w:rsidR="00A52A9A" w:rsidRDefault="00A52A9A" w:rsidP="00A86A0C">
            <w:pPr>
              <w:pStyle w:val="TableContents"/>
              <w:jc w:val="both"/>
            </w:pPr>
          </w:p>
        </w:tc>
        <w:tc>
          <w:tcPr>
            <w:tcW w:w="1326" w:type="dxa"/>
            <w:shd w:val="clear" w:color="auto" w:fill="FFFFFF"/>
            <w:vAlign w:val="center"/>
          </w:tcPr>
          <w:p w14:paraId="2E95E283" w14:textId="77777777" w:rsidR="00A52A9A" w:rsidRDefault="00A52A9A" w:rsidP="00A86A0C">
            <w:pPr>
              <w:pStyle w:val="TableContents"/>
              <w:jc w:val="both"/>
            </w:pPr>
            <w:r>
              <w:rPr>
                <w:sz w:val="20"/>
                <w:lang w:val="en-US"/>
              </w:rPr>
              <w:t>30.09.2023</w:t>
            </w:r>
          </w:p>
        </w:tc>
      </w:tr>
      <w:tr w:rsidR="00A52A9A" w14:paraId="41509D1F" w14:textId="77777777" w:rsidTr="00880D6C">
        <w:trPr>
          <w:trHeight w:val="735"/>
        </w:trPr>
        <w:tc>
          <w:tcPr>
            <w:tcW w:w="5911" w:type="dxa"/>
            <w:shd w:val="clear" w:color="auto" w:fill="FFFFFF"/>
            <w:vAlign w:val="center"/>
          </w:tcPr>
          <w:p w14:paraId="20BA59E3" w14:textId="77777777" w:rsidR="00A52A9A" w:rsidRDefault="00A52A9A" w:rsidP="00A86A0C">
            <w:pPr>
              <w:pStyle w:val="TableContents"/>
              <w:jc w:val="both"/>
            </w:pPr>
            <w:r>
              <w:rPr>
                <w:sz w:val="20"/>
                <w:lang w:val="en-US"/>
              </w:rPr>
              <w:t xml:space="preserve">3.3 </w:t>
            </w:r>
            <w:proofErr w:type="spellStart"/>
            <w:r>
              <w:rPr>
                <w:sz w:val="20"/>
                <w:lang w:val="en-US"/>
              </w:rPr>
              <w:t>Јавни</w:t>
            </w:r>
            <w:proofErr w:type="spellEnd"/>
            <w:r>
              <w:rPr>
                <w:sz w:val="20"/>
                <w:lang w:val="en-US"/>
              </w:rPr>
              <w:t xml:space="preserve"> </w:t>
            </w:r>
            <w:proofErr w:type="spellStart"/>
            <w:r>
              <w:rPr>
                <w:sz w:val="20"/>
                <w:lang w:val="en-US"/>
              </w:rPr>
              <w:t>услуги</w:t>
            </w:r>
            <w:proofErr w:type="spellEnd"/>
            <w:r>
              <w:rPr>
                <w:sz w:val="20"/>
                <w:lang w:val="en-US"/>
              </w:rPr>
              <w:t xml:space="preserve"> и </w:t>
            </w:r>
            <w:proofErr w:type="spellStart"/>
            <w:r>
              <w:rPr>
                <w:sz w:val="20"/>
                <w:lang w:val="en-US"/>
              </w:rPr>
              <w:t>политики</w:t>
            </w:r>
            <w:proofErr w:type="spellEnd"/>
            <w:r>
              <w:rPr>
                <w:sz w:val="20"/>
                <w:lang w:val="en-US"/>
              </w:rPr>
              <w:t xml:space="preserve"> </w:t>
            </w:r>
            <w:proofErr w:type="spellStart"/>
            <w:r>
              <w:rPr>
                <w:sz w:val="20"/>
                <w:lang w:val="en-US"/>
              </w:rPr>
              <w:t>темелени</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граѓанските</w:t>
            </w:r>
            <w:proofErr w:type="spellEnd"/>
            <w:r>
              <w:rPr>
                <w:sz w:val="20"/>
                <w:lang w:val="en-US"/>
              </w:rPr>
              <w:t xml:space="preserve"> </w:t>
            </w:r>
            <w:proofErr w:type="spellStart"/>
            <w:r>
              <w:rPr>
                <w:sz w:val="20"/>
                <w:lang w:val="en-US"/>
              </w:rPr>
              <w:t>приоритети</w:t>
            </w:r>
            <w:proofErr w:type="spellEnd"/>
            <w:r>
              <w:rPr>
                <w:sz w:val="20"/>
                <w:lang w:val="en-US"/>
              </w:rPr>
              <w:t xml:space="preserve"> </w:t>
            </w:r>
            <w:proofErr w:type="spellStart"/>
            <w:r>
              <w:rPr>
                <w:sz w:val="20"/>
                <w:lang w:val="en-US"/>
              </w:rPr>
              <w:t>од</w:t>
            </w:r>
            <w:proofErr w:type="spellEnd"/>
            <w:r>
              <w:rPr>
                <w:sz w:val="20"/>
                <w:lang w:val="en-US"/>
              </w:rPr>
              <w:t xml:space="preserve"> </w:t>
            </w:r>
            <w:proofErr w:type="spellStart"/>
            <w:r>
              <w:rPr>
                <w:sz w:val="20"/>
                <w:lang w:val="en-US"/>
              </w:rPr>
              <w:t>областa</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образованито</w:t>
            </w:r>
            <w:proofErr w:type="spellEnd"/>
          </w:p>
        </w:tc>
        <w:tc>
          <w:tcPr>
            <w:tcW w:w="495" w:type="dxa"/>
            <w:shd w:val="clear" w:color="auto" w:fill="2E74B5"/>
            <w:vAlign w:val="center"/>
          </w:tcPr>
          <w:p w14:paraId="281719C1" w14:textId="77777777" w:rsidR="00A52A9A" w:rsidRDefault="00A52A9A" w:rsidP="00A86A0C">
            <w:pPr>
              <w:pStyle w:val="TableContents"/>
              <w:jc w:val="both"/>
            </w:pPr>
          </w:p>
        </w:tc>
        <w:tc>
          <w:tcPr>
            <w:tcW w:w="495" w:type="dxa"/>
            <w:shd w:val="clear" w:color="auto" w:fill="FFFFFF"/>
            <w:vAlign w:val="center"/>
          </w:tcPr>
          <w:p w14:paraId="1943D51C" w14:textId="77777777" w:rsidR="00A52A9A" w:rsidRDefault="00A52A9A" w:rsidP="00A86A0C">
            <w:pPr>
              <w:pStyle w:val="TableContents"/>
              <w:jc w:val="both"/>
            </w:pPr>
          </w:p>
        </w:tc>
        <w:tc>
          <w:tcPr>
            <w:tcW w:w="491" w:type="dxa"/>
            <w:shd w:val="clear" w:color="auto" w:fill="FFFFFF"/>
            <w:vAlign w:val="center"/>
          </w:tcPr>
          <w:p w14:paraId="5A535E66" w14:textId="77777777" w:rsidR="00A52A9A" w:rsidRDefault="00A52A9A" w:rsidP="00A86A0C">
            <w:pPr>
              <w:pStyle w:val="TableContents"/>
              <w:jc w:val="both"/>
            </w:pPr>
          </w:p>
        </w:tc>
        <w:tc>
          <w:tcPr>
            <w:tcW w:w="492" w:type="dxa"/>
            <w:shd w:val="clear" w:color="auto" w:fill="FFFFFF"/>
            <w:vAlign w:val="center"/>
          </w:tcPr>
          <w:p w14:paraId="4B5956FB" w14:textId="77777777" w:rsidR="00A52A9A" w:rsidRDefault="00A52A9A" w:rsidP="00A86A0C">
            <w:pPr>
              <w:pStyle w:val="TableContents"/>
              <w:jc w:val="both"/>
            </w:pPr>
          </w:p>
        </w:tc>
        <w:tc>
          <w:tcPr>
            <w:tcW w:w="1326" w:type="dxa"/>
            <w:shd w:val="clear" w:color="auto" w:fill="FFFFFF"/>
            <w:vAlign w:val="center"/>
          </w:tcPr>
          <w:p w14:paraId="3D6AB28D" w14:textId="77777777" w:rsidR="00A52A9A" w:rsidRDefault="00A52A9A" w:rsidP="00A86A0C">
            <w:pPr>
              <w:pStyle w:val="TableContents"/>
              <w:jc w:val="both"/>
            </w:pPr>
            <w:r>
              <w:rPr>
                <w:sz w:val="20"/>
                <w:lang w:val="en-US"/>
              </w:rPr>
              <w:t>30.09.2023</w:t>
            </w:r>
          </w:p>
        </w:tc>
      </w:tr>
      <w:tr w:rsidR="00A52A9A" w14:paraId="2298AE47" w14:textId="77777777" w:rsidTr="00880D6C">
        <w:trPr>
          <w:trHeight w:val="735"/>
        </w:trPr>
        <w:tc>
          <w:tcPr>
            <w:tcW w:w="5911" w:type="dxa"/>
            <w:shd w:val="clear" w:color="auto" w:fill="FFFFFF"/>
            <w:vAlign w:val="center"/>
          </w:tcPr>
          <w:p w14:paraId="4CA87631" w14:textId="77777777" w:rsidR="00A52A9A" w:rsidRDefault="00A52A9A" w:rsidP="00A86A0C">
            <w:pPr>
              <w:pStyle w:val="TableContents"/>
              <w:jc w:val="both"/>
            </w:pPr>
            <w:r>
              <w:rPr>
                <w:sz w:val="20"/>
                <w:lang w:val="en-US"/>
              </w:rPr>
              <w:t xml:space="preserve">3.4 </w:t>
            </w:r>
            <w:proofErr w:type="spellStart"/>
            <w:r>
              <w:rPr>
                <w:sz w:val="20"/>
                <w:lang w:val="en-US"/>
              </w:rPr>
              <w:t>Јавни</w:t>
            </w:r>
            <w:proofErr w:type="spellEnd"/>
            <w:r>
              <w:rPr>
                <w:sz w:val="20"/>
                <w:lang w:val="en-US"/>
              </w:rPr>
              <w:t xml:space="preserve"> </w:t>
            </w:r>
            <w:proofErr w:type="spellStart"/>
            <w:r>
              <w:rPr>
                <w:sz w:val="20"/>
                <w:lang w:val="en-US"/>
              </w:rPr>
              <w:t>услуги</w:t>
            </w:r>
            <w:proofErr w:type="spellEnd"/>
            <w:r>
              <w:rPr>
                <w:sz w:val="20"/>
                <w:lang w:val="en-US"/>
              </w:rPr>
              <w:t xml:space="preserve"> и </w:t>
            </w:r>
            <w:proofErr w:type="spellStart"/>
            <w:r>
              <w:rPr>
                <w:sz w:val="20"/>
                <w:lang w:val="en-US"/>
              </w:rPr>
              <w:t>политики</w:t>
            </w:r>
            <w:proofErr w:type="spellEnd"/>
            <w:r>
              <w:rPr>
                <w:sz w:val="20"/>
                <w:lang w:val="en-US"/>
              </w:rPr>
              <w:t xml:space="preserve"> </w:t>
            </w:r>
            <w:proofErr w:type="spellStart"/>
            <w:r>
              <w:rPr>
                <w:sz w:val="20"/>
                <w:lang w:val="en-US"/>
              </w:rPr>
              <w:t>темелени</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граѓанските</w:t>
            </w:r>
            <w:proofErr w:type="spellEnd"/>
            <w:r>
              <w:rPr>
                <w:sz w:val="20"/>
                <w:lang w:val="en-US"/>
              </w:rPr>
              <w:t xml:space="preserve"> </w:t>
            </w:r>
            <w:proofErr w:type="spellStart"/>
            <w:r>
              <w:rPr>
                <w:sz w:val="20"/>
                <w:lang w:val="en-US"/>
              </w:rPr>
              <w:t>приоритети</w:t>
            </w:r>
            <w:proofErr w:type="spellEnd"/>
            <w:r>
              <w:rPr>
                <w:sz w:val="20"/>
                <w:lang w:val="en-US"/>
              </w:rPr>
              <w:t xml:space="preserve"> </w:t>
            </w:r>
            <w:proofErr w:type="spellStart"/>
            <w:r>
              <w:rPr>
                <w:sz w:val="20"/>
                <w:lang w:val="en-US"/>
              </w:rPr>
              <w:t>од</w:t>
            </w:r>
            <w:proofErr w:type="spellEnd"/>
            <w:r>
              <w:rPr>
                <w:sz w:val="20"/>
                <w:lang w:val="en-US"/>
              </w:rPr>
              <w:t xml:space="preserve"> </w:t>
            </w:r>
            <w:proofErr w:type="spellStart"/>
            <w:r>
              <w:rPr>
                <w:sz w:val="20"/>
                <w:lang w:val="en-US"/>
              </w:rPr>
              <w:t>областа</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обезбедувањето</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локалните</w:t>
            </w:r>
            <w:proofErr w:type="spellEnd"/>
            <w:r>
              <w:rPr>
                <w:sz w:val="20"/>
                <w:lang w:val="en-US"/>
              </w:rPr>
              <w:t xml:space="preserve"> </w:t>
            </w:r>
            <w:proofErr w:type="spellStart"/>
            <w:r>
              <w:rPr>
                <w:sz w:val="20"/>
                <w:lang w:val="en-US"/>
              </w:rPr>
              <w:t>јавни</w:t>
            </w:r>
            <w:proofErr w:type="spellEnd"/>
            <w:r>
              <w:rPr>
                <w:sz w:val="20"/>
                <w:lang w:val="en-US"/>
              </w:rPr>
              <w:t xml:space="preserve"> </w:t>
            </w:r>
            <w:proofErr w:type="spellStart"/>
            <w:r>
              <w:rPr>
                <w:sz w:val="20"/>
                <w:lang w:val="en-US"/>
              </w:rPr>
              <w:t>услуги</w:t>
            </w:r>
            <w:proofErr w:type="spellEnd"/>
          </w:p>
        </w:tc>
        <w:tc>
          <w:tcPr>
            <w:tcW w:w="495" w:type="dxa"/>
            <w:shd w:val="clear" w:color="auto" w:fill="FFFFFF"/>
            <w:vAlign w:val="center"/>
          </w:tcPr>
          <w:p w14:paraId="75CB1E06" w14:textId="77777777" w:rsidR="00A52A9A" w:rsidRDefault="00A52A9A" w:rsidP="00A86A0C">
            <w:pPr>
              <w:pStyle w:val="TableContents"/>
              <w:jc w:val="both"/>
            </w:pPr>
          </w:p>
        </w:tc>
        <w:tc>
          <w:tcPr>
            <w:tcW w:w="495" w:type="dxa"/>
            <w:shd w:val="clear" w:color="auto" w:fill="2E74B5"/>
            <w:vAlign w:val="center"/>
          </w:tcPr>
          <w:p w14:paraId="0C4BBF6C" w14:textId="77777777" w:rsidR="00A52A9A" w:rsidRDefault="00A52A9A" w:rsidP="00A86A0C">
            <w:pPr>
              <w:pStyle w:val="TableContents"/>
              <w:jc w:val="both"/>
            </w:pPr>
          </w:p>
        </w:tc>
        <w:tc>
          <w:tcPr>
            <w:tcW w:w="491" w:type="dxa"/>
            <w:shd w:val="clear" w:color="auto" w:fill="FFFFFF"/>
            <w:vAlign w:val="center"/>
          </w:tcPr>
          <w:p w14:paraId="50FB53CC" w14:textId="77777777" w:rsidR="00A52A9A" w:rsidRDefault="00A52A9A" w:rsidP="00A86A0C">
            <w:pPr>
              <w:pStyle w:val="TableContents"/>
              <w:jc w:val="both"/>
            </w:pPr>
          </w:p>
        </w:tc>
        <w:tc>
          <w:tcPr>
            <w:tcW w:w="492" w:type="dxa"/>
            <w:shd w:val="clear" w:color="auto" w:fill="FFFFFF"/>
            <w:vAlign w:val="center"/>
          </w:tcPr>
          <w:p w14:paraId="54CA907A" w14:textId="77777777" w:rsidR="00A52A9A" w:rsidRDefault="00A52A9A" w:rsidP="00A86A0C">
            <w:pPr>
              <w:pStyle w:val="TableContents"/>
              <w:jc w:val="both"/>
            </w:pPr>
          </w:p>
        </w:tc>
        <w:tc>
          <w:tcPr>
            <w:tcW w:w="1326" w:type="dxa"/>
            <w:shd w:val="clear" w:color="auto" w:fill="FFFFFF"/>
            <w:vAlign w:val="center"/>
          </w:tcPr>
          <w:p w14:paraId="7A156A37" w14:textId="77777777" w:rsidR="00A52A9A" w:rsidRDefault="00A52A9A" w:rsidP="00A86A0C">
            <w:pPr>
              <w:pStyle w:val="TableContents"/>
              <w:jc w:val="both"/>
            </w:pPr>
            <w:r>
              <w:rPr>
                <w:sz w:val="20"/>
                <w:lang w:val="en-US"/>
              </w:rPr>
              <w:t>30.09.2023</w:t>
            </w:r>
          </w:p>
        </w:tc>
      </w:tr>
      <w:tr w:rsidR="00A52A9A" w14:paraId="5EA401A3" w14:textId="77777777" w:rsidTr="00880D6C">
        <w:trPr>
          <w:trHeight w:val="735"/>
        </w:trPr>
        <w:tc>
          <w:tcPr>
            <w:tcW w:w="5911" w:type="dxa"/>
            <w:shd w:val="clear" w:color="auto" w:fill="FFFFFF"/>
            <w:vAlign w:val="center"/>
          </w:tcPr>
          <w:p w14:paraId="56629BA7" w14:textId="77777777" w:rsidR="00A52A9A" w:rsidRDefault="00A52A9A" w:rsidP="00A86A0C">
            <w:pPr>
              <w:pStyle w:val="TableContents"/>
              <w:jc w:val="both"/>
            </w:pPr>
            <w:r>
              <w:rPr>
                <w:sz w:val="20"/>
                <w:lang w:val="en-US"/>
              </w:rPr>
              <w:t xml:space="preserve">3.5 </w:t>
            </w:r>
            <w:proofErr w:type="spellStart"/>
            <w:r>
              <w:rPr>
                <w:sz w:val="20"/>
                <w:lang w:val="en-US"/>
              </w:rPr>
              <w:t>Достапни</w:t>
            </w:r>
            <w:proofErr w:type="spellEnd"/>
            <w:r>
              <w:rPr>
                <w:sz w:val="20"/>
                <w:lang w:val="en-US"/>
              </w:rPr>
              <w:t xml:space="preserve"> е-</w:t>
            </w:r>
            <w:proofErr w:type="spellStart"/>
            <w:r>
              <w:rPr>
                <w:sz w:val="20"/>
                <w:lang w:val="en-US"/>
              </w:rPr>
              <w:t>услуги</w:t>
            </w:r>
            <w:proofErr w:type="spellEnd"/>
            <w:r>
              <w:rPr>
                <w:sz w:val="20"/>
                <w:lang w:val="en-US"/>
              </w:rPr>
              <w:t xml:space="preserve"> </w:t>
            </w:r>
            <w:proofErr w:type="spellStart"/>
            <w:r>
              <w:rPr>
                <w:sz w:val="20"/>
                <w:lang w:val="en-US"/>
              </w:rPr>
              <w:t>во</w:t>
            </w:r>
            <w:proofErr w:type="spellEnd"/>
            <w:r>
              <w:rPr>
                <w:sz w:val="20"/>
                <w:lang w:val="en-US"/>
              </w:rPr>
              <w:t xml:space="preserve"> </w:t>
            </w:r>
            <w:proofErr w:type="spellStart"/>
            <w:r>
              <w:rPr>
                <w:sz w:val="20"/>
                <w:lang w:val="en-US"/>
              </w:rPr>
              <w:t>руралните</w:t>
            </w:r>
            <w:proofErr w:type="spellEnd"/>
            <w:r>
              <w:rPr>
                <w:sz w:val="20"/>
                <w:lang w:val="en-US"/>
              </w:rPr>
              <w:t xml:space="preserve"> </w:t>
            </w:r>
            <w:proofErr w:type="spellStart"/>
            <w:r>
              <w:rPr>
                <w:sz w:val="20"/>
                <w:lang w:val="en-US"/>
              </w:rPr>
              <w:t>средини</w:t>
            </w:r>
            <w:proofErr w:type="spellEnd"/>
          </w:p>
        </w:tc>
        <w:tc>
          <w:tcPr>
            <w:tcW w:w="495" w:type="dxa"/>
            <w:shd w:val="clear" w:color="auto" w:fill="2E74B5"/>
            <w:vAlign w:val="center"/>
          </w:tcPr>
          <w:p w14:paraId="1FFA48E9" w14:textId="77777777" w:rsidR="00A52A9A" w:rsidRDefault="00A52A9A" w:rsidP="00A86A0C">
            <w:pPr>
              <w:pStyle w:val="TableContents"/>
              <w:jc w:val="both"/>
            </w:pPr>
          </w:p>
        </w:tc>
        <w:tc>
          <w:tcPr>
            <w:tcW w:w="495" w:type="dxa"/>
            <w:shd w:val="clear" w:color="auto" w:fill="FFFFFF"/>
            <w:vAlign w:val="center"/>
          </w:tcPr>
          <w:p w14:paraId="5FCBD40E" w14:textId="77777777" w:rsidR="00A52A9A" w:rsidRDefault="00A52A9A" w:rsidP="00A86A0C">
            <w:pPr>
              <w:pStyle w:val="TableContents"/>
              <w:jc w:val="both"/>
            </w:pPr>
          </w:p>
        </w:tc>
        <w:tc>
          <w:tcPr>
            <w:tcW w:w="491" w:type="dxa"/>
            <w:shd w:val="clear" w:color="auto" w:fill="FFFFFF"/>
            <w:vAlign w:val="center"/>
          </w:tcPr>
          <w:p w14:paraId="29930CE1" w14:textId="77777777" w:rsidR="00A52A9A" w:rsidRDefault="00A52A9A" w:rsidP="00A86A0C">
            <w:pPr>
              <w:pStyle w:val="TableContents"/>
              <w:jc w:val="both"/>
            </w:pPr>
          </w:p>
        </w:tc>
        <w:tc>
          <w:tcPr>
            <w:tcW w:w="492" w:type="dxa"/>
            <w:shd w:val="clear" w:color="auto" w:fill="FFFFFF"/>
            <w:vAlign w:val="center"/>
          </w:tcPr>
          <w:p w14:paraId="0961EDE1" w14:textId="77777777" w:rsidR="00A52A9A" w:rsidRDefault="00A52A9A" w:rsidP="00A86A0C">
            <w:pPr>
              <w:pStyle w:val="TableContents"/>
              <w:jc w:val="both"/>
            </w:pPr>
          </w:p>
        </w:tc>
        <w:tc>
          <w:tcPr>
            <w:tcW w:w="1326" w:type="dxa"/>
            <w:shd w:val="clear" w:color="auto" w:fill="FFFFFF"/>
            <w:vAlign w:val="center"/>
          </w:tcPr>
          <w:p w14:paraId="0CEF97EC" w14:textId="77777777" w:rsidR="00A52A9A" w:rsidRDefault="00A52A9A" w:rsidP="00A86A0C">
            <w:pPr>
              <w:pStyle w:val="TableContents"/>
              <w:jc w:val="both"/>
            </w:pPr>
            <w:r>
              <w:rPr>
                <w:sz w:val="20"/>
                <w:lang w:val="en-US"/>
              </w:rPr>
              <w:t>30.06.2023</w:t>
            </w:r>
          </w:p>
        </w:tc>
      </w:tr>
      <w:tr w:rsidR="00A52A9A" w14:paraId="4FCA67D8" w14:textId="77777777" w:rsidTr="00880D6C">
        <w:trPr>
          <w:trHeight w:val="735"/>
        </w:trPr>
        <w:tc>
          <w:tcPr>
            <w:tcW w:w="5911" w:type="dxa"/>
            <w:shd w:val="clear" w:color="auto" w:fill="FFFFFF"/>
            <w:vAlign w:val="center"/>
          </w:tcPr>
          <w:p w14:paraId="54DFC04D" w14:textId="77777777" w:rsidR="00A52A9A" w:rsidRDefault="00A52A9A" w:rsidP="00A86A0C">
            <w:pPr>
              <w:pStyle w:val="TableContents"/>
              <w:jc w:val="both"/>
            </w:pPr>
            <w:r>
              <w:rPr>
                <w:sz w:val="20"/>
                <w:lang w:val="en-US"/>
              </w:rPr>
              <w:t xml:space="preserve">3.6 </w:t>
            </w:r>
            <w:proofErr w:type="spellStart"/>
            <w:r>
              <w:rPr>
                <w:sz w:val="20"/>
                <w:lang w:val="en-US"/>
              </w:rPr>
              <w:t>Зголемување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пристапот</w:t>
            </w:r>
            <w:proofErr w:type="spellEnd"/>
            <w:r>
              <w:rPr>
                <w:sz w:val="20"/>
                <w:lang w:val="en-US"/>
              </w:rPr>
              <w:t xml:space="preserve"> </w:t>
            </w:r>
            <w:proofErr w:type="spellStart"/>
            <w:r>
              <w:rPr>
                <w:sz w:val="20"/>
                <w:lang w:val="en-US"/>
              </w:rPr>
              <w:t>до</w:t>
            </w:r>
            <w:proofErr w:type="spellEnd"/>
            <w:r>
              <w:rPr>
                <w:sz w:val="20"/>
                <w:lang w:val="en-US"/>
              </w:rPr>
              <w:t xml:space="preserve"> </w:t>
            </w:r>
            <w:proofErr w:type="spellStart"/>
            <w:r>
              <w:rPr>
                <w:sz w:val="20"/>
                <w:lang w:val="en-US"/>
              </w:rPr>
              <w:t>загарантираните</w:t>
            </w:r>
            <w:proofErr w:type="spellEnd"/>
            <w:r>
              <w:rPr>
                <w:sz w:val="20"/>
                <w:lang w:val="en-US"/>
              </w:rPr>
              <w:t xml:space="preserve"> </w:t>
            </w:r>
            <w:proofErr w:type="spellStart"/>
            <w:r>
              <w:rPr>
                <w:sz w:val="20"/>
                <w:lang w:val="en-US"/>
              </w:rPr>
              <w:t>облици</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заштита</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жртвите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трговија</w:t>
            </w:r>
            <w:proofErr w:type="spellEnd"/>
            <w:r>
              <w:rPr>
                <w:sz w:val="20"/>
                <w:lang w:val="en-US"/>
              </w:rPr>
              <w:t xml:space="preserve"> </w:t>
            </w:r>
            <w:proofErr w:type="spellStart"/>
            <w:r>
              <w:rPr>
                <w:sz w:val="20"/>
                <w:lang w:val="en-US"/>
              </w:rPr>
              <w:t>со</w:t>
            </w:r>
            <w:proofErr w:type="spellEnd"/>
            <w:r>
              <w:rPr>
                <w:sz w:val="20"/>
                <w:lang w:val="en-US"/>
              </w:rPr>
              <w:t xml:space="preserve"> </w:t>
            </w:r>
            <w:proofErr w:type="spellStart"/>
            <w:r>
              <w:rPr>
                <w:sz w:val="20"/>
                <w:lang w:val="en-US"/>
              </w:rPr>
              <w:t>луѓе</w:t>
            </w:r>
            <w:proofErr w:type="spellEnd"/>
          </w:p>
        </w:tc>
        <w:tc>
          <w:tcPr>
            <w:tcW w:w="495" w:type="dxa"/>
            <w:shd w:val="clear" w:color="auto" w:fill="FFFFFF"/>
            <w:vAlign w:val="center"/>
          </w:tcPr>
          <w:p w14:paraId="26E12E01" w14:textId="77777777" w:rsidR="00A52A9A" w:rsidRDefault="00A52A9A" w:rsidP="00A86A0C">
            <w:pPr>
              <w:pStyle w:val="TableContents"/>
              <w:jc w:val="both"/>
            </w:pPr>
          </w:p>
        </w:tc>
        <w:tc>
          <w:tcPr>
            <w:tcW w:w="495" w:type="dxa"/>
            <w:shd w:val="clear" w:color="auto" w:fill="2E74B5"/>
            <w:vAlign w:val="center"/>
          </w:tcPr>
          <w:p w14:paraId="27AEA2A6" w14:textId="77777777" w:rsidR="00A52A9A" w:rsidRDefault="00A52A9A" w:rsidP="00A86A0C">
            <w:pPr>
              <w:pStyle w:val="TableContents"/>
              <w:jc w:val="both"/>
            </w:pPr>
          </w:p>
        </w:tc>
        <w:tc>
          <w:tcPr>
            <w:tcW w:w="491" w:type="dxa"/>
            <w:shd w:val="clear" w:color="auto" w:fill="FFFFFF"/>
            <w:vAlign w:val="center"/>
          </w:tcPr>
          <w:p w14:paraId="71A27C50" w14:textId="77777777" w:rsidR="00A52A9A" w:rsidRDefault="00A52A9A" w:rsidP="00A86A0C">
            <w:pPr>
              <w:pStyle w:val="TableContents"/>
              <w:jc w:val="both"/>
            </w:pPr>
          </w:p>
        </w:tc>
        <w:tc>
          <w:tcPr>
            <w:tcW w:w="492" w:type="dxa"/>
            <w:shd w:val="clear" w:color="auto" w:fill="FFFFFF"/>
            <w:vAlign w:val="center"/>
          </w:tcPr>
          <w:p w14:paraId="01880A3E" w14:textId="77777777" w:rsidR="00A52A9A" w:rsidRDefault="00A52A9A" w:rsidP="00A86A0C">
            <w:pPr>
              <w:pStyle w:val="TableContents"/>
              <w:jc w:val="both"/>
            </w:pPr>
          </w:p>
        </w:tc>
        <w:tc>
          <w:tcPr>
            <w:tcW w:w="1326" w:type="dxa"/>
            <w:shd w:val="clear" w:color="auto" w:fill="FFFFFF"/>
            <w:vAlign w:val="center"/>
          </w:tcPr>
          <w:p w14:paraId="5AFDA5B1" w14:textId="77777777" w:rsidR="00A52A9A" w:rsidRDefault="00A52A9A" w:rsidP="00A86A0C">
            <w:pPr>
              <w:pStyle w:val="TableContents"/>
              <w:jc w:val="both"/>
            </w:pPr>
            <w:r>
              <w:rPr>
                <w:sz w:val="20"/>
                <w:lang w:val="en-US"/>
              </w:rPr>
              <w:t>30.06.2023</w:t>
            </w:r>
          </w:p>
        </w:tc>
      </w:tr>
      <w:tr w:rsidR="00A52A9A" w14:paraId="118774B2" w14:textId="77777777" w:rsidTr="00880D6C">
        <w:trPr>
          <w:trHeight w:val="735"/>
        </w:trPr>
        <w:tc>
          <w:tcPr>
            <w:tcW w:w="5911" w:type="dxa"/>
            <w:shd w:val="clear" w:color="auto" w:fill="FFFFFF"/>
            <w:vAlign w:val="center"/>
          </w:tcPr>
          <w:p w14:paraId="22FEA808" w14:textId="77777777" w:rsidR="00A52A9A" w:rsidRDefault="00A52A9A" w:rsidP="00A86A0C">
            <w:pPr>
              <w:pStyle w:val="TableContents"/>
              <w:jc w:val="both"/>
            </w:pPr>
            <w:r>
              <w:rPr>
                <w:sz w:val="20"/>
                <w:lang w:val="en-US"/>
              </w:rPr>
              <w:t xml:space="preserve">3.7 </w:t>
            </w:r>
            <w:proofErr w:type="spellStart"/>
            <w:r>
              <w:rPr>
                <w:sz w:val="20"/>
                <w:lang w:val="en-US"/>
              </w:rPr>
              <w:t>Унапредување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механизмите</w:t>
            </w:r>
            <w:proofErr w:type="spellEnd"/>
            <w:r>
              <w:rPr>
                <w:sz w:val="20"/>
                <w:lang w:val="en-US"/>
              </w:rPr>
              <w:t xml:space="preserve"> </w:t>
            </w:r>
            <w:proofErr w:type="spellStart"/>
            <w:r>
              <w:rPr>
                <w:sz w:val="20"/>
                <w:lang w:val="en-US"/>
              </w:rPr>
              <w:t>за</w:t>
            </w:r>
            <w:proofErr w:type="spellEnd"/>
            <w:r>
              <w:rPr>
                <w:sz w:val="20"/>
                <w:lang w:val="en-US"/>
              </w:rPr>
              <w:t xml:space="preserve"> </w:t>
            </w:r>
            <w:proofErr w:type="spellStart"/>
            <w:r>
              <w:rPr>
                <w:sz w:val="20"/>
                <w:lang w:val="en-US"/>
              </w:rPr>
              <w:t>заштита</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жртвите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вознемирување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работно</w:t>
            </w:r>
            <w:proofErr w:type="spellEnd"/>
            <w:r>
              <w:rPr>
                <w:sz w:val="20"/>
                <w:lang w:val="en-US"/>
              </w:rPr>
              <w:t xml:space="preserve"> </w:t>
            </w:r>
            <w:proofErr w:type="spellStart"/>
            <w:r>
              <w:rPr>
                <w:sz w:val="20"/>
                <w:lang w:val="en-US"/>
              </w:rPr>
              <w:t>место</w:t>
            </w:r>
            <w:proofErr w:type="spellEnd"/>
          </w:p>
        </w:tc>
        <w:tc>
          <w:tcPr>
            <w:tcW w:w="495" w:type="dxa"/>
            <w:shd w:val="clear" w:color="auto" w:fill="FFFFFF"/>
            <w:vAlign w:val="center"/>
          </w:tcPr>
          <w:p w14:paraId="1E80F73A" w14:textId="77777777" w:rsidR="00A52A9A" w:rsidRDefault="00A52A9A" w:rsidP="00A86A0C">
            <w:pPr>
              <w:pStyle w:val="TableContents"/>
              <w:jc w:val="both"/>
            </w:pPr>
          </w:p>
        </w:tc>
        <w:tc>
          <w:tcPr>
            <w:tcW w:w="495" w:type="dxa"/>
            <w:shd w:val="clear" w:color="auto" w:fill="FFFFFF"/>
            <w:vAlign w:val="center"/>
          </w:tcPr>
          <w:p w14:paraId="54992803" w14:textId="77777777" w:rsidR="00A52A9A" w:rsidRDefault="00A52A9A" w:rsidP="00A86A0C">
            <w:pPr>
              <w:pStyle w:val="TableContents"/>
              <w:jc w:val="both"/>
            </w:pPr>
          </w:p>
        </w:tc>
        <w:tc>
          <w:tcPr>
            <w:tcW w:w="491" w:type="dxa"/>
            <w:shd w:val="clear" w:color="auto" w:fill="2E74B5"/>
            <w:vAlign w:val="center"/>
          </w:tcPr>
          <w:p w14:paraId="12A0E0EC" w14:textId="77777777" w:rsidR="00A52A9A" w:rsidRDefault="00A52A9A" w:rsidP="00A86A0C">
            <w:pPr>
              <w:pStyle w:val="TableContents"/>
              <w:jc w:val="both"/>
            </w:pPr>
          </w:p>
        </w:tc>
        <w:tc>
          <w:tcPr>
            <w:tcW w:w="492" w:type="dxa"/>
            <w:shd w:val="clear" w:color="auto" w:fill="FFFFFF"/>
            <w:vAlign w:val="center"/>
          </w:tcPr>
          <w:p w14:paraId="40E16B71" w14:textId="77777777" w:rsidR="00A52A9A" w:rsidRDefault="00A52A9A" w:rsidP="00A86A0C">
            <w:pPr>
              <w:pStyle w:val="TableContents"/>
              <w:jc w:val="both"/>
            </w:pPr>
          </w:p>
        </w:tc>
        <w:tc>
          <w:tcPr>
            <w:tcW w:w="1326" w:type="dxa"/>
            <w:shd w:val="clear" w:color="auto" w:fill="FFFFFF"/>
            <w:vAlign w:val="center"/>
          </w:tcPr>
          <w:p w14:paraId="22E3A040" w14:textId="77777777" w:rsidR="00A52A9A" w:rsidRDefault="00A52A9A" w:rsidP="00A86A0C">
            <w:pPr>
              <w:pStyle w:val="TableContents"/>
              <w:jc w:val="both"/>
            </w:pPr>
            <w:r>
              <w:rPr>
                <w:sz w:val="20"/>
                <w:lang w:val="en-US"/>
              </w:rPr>
              <w:t>30.06.2023</w:t>
            </w:r>
          </w:p>
        </w:tc>
      </w:tr>
      <w:tr w:rsidR="00A52A9A" w14:paraId="3A2036FA" w14:textId="77777777" w:rsidTr="00880D6C">
        <w:trPr>
          <w:trHeight w:val="735"/>
        </w:trPr>
        <w:tc>
          <w:tcPr>
            <w:tcW w:w="5911" w:type="dxa"/>
            <w:shd w:val="clear" w:color="auto" w:fill="FFFFFF"/>
            <w:vAlign w:val="center"/>
          </w:tcPr>
          <w:p w14:paraId="1494820B" w14:textId="77777777" w:rsidR="00A52A9A" w:rsidRDefault="00A52A9A" w:rsidP="00A86A0C">
            <w:pPr>
              <w:pStyle w:val="TableContents"/>
              <w:jc w:val="both"/>
            </w:pPr>
            <w:r>
              <w:rPr>
                <w:sz w:val="20"/>
                <w:lang w:val="en-US"/>
              </w:rPr>
              <w:t xml:space="preserve">3.8 </w:t>
            </w:r>
            <w:proofErr w:type="spellStart"/>
            <w:r>
              <w:rPr>
                <w:sz w:val="20"/>
                <w:lang w:val="en-US"/>
              </w:rPr>
              <w:t>Овозможување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пристап</w:t>
            </w:r>
            <w:proofErr w:type="spellEnd"/>
            <w:r>
              <w:rPr>
                <w:sz w:val="20"/>
                <w:lang w:val="en-US"/>
              </w:rPr>
              <w:t xml:space="preserve"> </w:t>
            </w:r>
            <w:proofErr w:type="spellStart"/>
            <w:r>
              <w:rPr>
                <w:sz w:val="20"/>
                <w:lang w:val="en-US"/>
              </w:rPr>
              <w:t>до</w:t>
            </w:r>
            <w:proofErr w:type="spellEnd"/>
            <w:r>
              <w:rPr>
                <w:sz w:val="20"/>
                <w:lang w:val="en-US"/>
              </w:rPr>
              <w:t xml:space="preserve"> </w:t>
            </w:r>
            <w:proofErr w:type="spellStart"/>
            <w:r>
              <w:rPr>
                <w:sz w:val="20"/>
                <w:lang w:val="en-US"/>
              </w:rPr>
              <w:t>терапија</w:t>
            </w:r>
            <w:proofErr w:type="spellEnd"/>
            <w:r>
              <w:rPr>
                <w:sz w:val="20"/>
                <w:lang w:val="en-US"/>
              </w:rPr>
              <w:t xml:space="preserve"> и </w:t>
            </w:r>
            <w:proofErr w:type="spellStart"/>
            <w:r>
              <w:rPr>
                <w:sz w:val="20"/>
                <w:lang w:val="en-US"/>
              </w:rPr>
              <w:t>здравствени</w:t>
            </w:r>
            <w:proofErr w:type="spellEnd"/>
            <w:r>
              <w:rPr>
                <w:sz w:val="20"/>
                <w:lang w:val="en-US"/>
              </w:rPr>
              <w:t xml:space="preserve"> </w:t>
            </w:r>
            <w:proofErr w:type="spellStart"/>
            <w:r>
              <w:rPr>
                <w:sz w:val="20"/>
                <w:lang w:val="en-US"/>
              </w:rPr>
              <w:t>услуги</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лица</w:t>
            </w:r>
            <w:proofErr w:type="spellEnd"/>
            <w:r>
              <w:rPr>
                <w:sz w:val="20"/>
                <w:lang w:val="en-US"/>
              </w:rPr>
              <w:t xml:space="preserve"> </w:t>
            </w:r>
            <w:proofErr w:type="spellStart"/>
            <w:r>
              <w:rPr>
                <w:sz w:val="20"/>
                <w:lang w:val="en-US"/>
              </w:rPr>
              <w:t>кои</w:t>
            </w:r>
            <w:proofErr w:type="spellEnd"/>
            <w:r>
              <w:rPr>
                <w:sz w:val="20"/>
                <w:lang w:val="en-US"/>
              </w:rPr>
              <w:t xml:space="preserve"> </w:t>
            </w:r>
            <w:proofErr w:type="spellStart"/>
            <w:r>
              <w:rPr>
                <w:sz w:val="20"/>
                <w:lang w:val="en-US"/>
              </w:rPr>
              <w:t>употребуваат</w:t>
            </w:r>
            <w:proofErr w:type="spellEnd"/>
            <w:r>
              <w:rPr>
                <w:sz w:val="20"/>
                <w:lang w:val="en-US"/>
              </w:rPr>
              <w:t xml:space="preserve"> </w:t>
            </w:r>
            <w:proofErr w:type="spellStart"/>
            <w:r>
              <w:rPr>
                <w:sz w:val="20"/>
                <w:lang w:val="en-US"/>
              </w:rPr>
              <w:t>дроги</w:t>
            </w:r>
            <w:proofErr w:type="spellEnd"/>
            <w:r>
              <w:rPr>
                <w:sz w:val="20"/>
                <w:lang w:val="en-US"/>
              </w:rPr>
              <w:t xml:space="preserve"> </w:t>
            </w:r>
            <w:proofErr w:type="spellStart"/>
            <w:r>
              <w:rPr>
                <w:sz w:val="20"/>
                <w:lang w:val="en-US"/>
              </w:rPr>
              <w:t>по</w:t>
            </w:r>
            <w:proofErr w:type="spellEnd"/>
            <w:r>
              <w:rPr>
                <w:sz w:val="20"/>
                <w:lang w:val="en-US"/>
              </w:rPr>
              <w:t xml:space="preserve"> </w:t>
            </w:r>
            <w:proofErr w:type="spellStart"/>
            <w:r>
              <w:rPr>
                <w:sz w:val="20"/>
                <w:lang w:val="en-US"/>
              </w:rPr>
              <w:t>издржување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казна</w:t>
            </w:r>
            <w:proofErr w:type="spellEnd"/>
            <w:r>
              <w:rPr>
                <w:sz w:val="20"/>
                <w:lang w:val="en-US"/>
              </w:rPr>
              <w:t xml:space="preserve"> </w:t>
            </w:r>
            <w:proofErr w:type="spellStart"/>
            <w:r>
              <w:rPr>
                <w:sz w:val="20"/>
                <w:lang w:val="en-US"/>
              </w:rPr>
              <w:t>затвор</w:t>
            </w:r>
            <w:proofErr w:type="spellEnd"/>
          </w:p>
        </w:tc>
        <w:tc>
          <w:tcPr>
            <w:tcW w:w="495" w:type="dxa"/>
            <w:shd w:val="clear" w:color="auto" w:fill="0070C0"/>
            <w:vAlign w:val="center"/>
          </w:tcPr>
          <w:p w14:paraId="204DAE60" w14:textId="77777777" w:rsidR="00A52A9A" w:rsidRDefault="00A52A9A" w:rsidP="00A86A0C">
            <w:pPr>
              <w:pStyle w:val="TableContents"/>
              <w:jc w:val="both"/>
            </w:pPr>
            <w:r w:rsidRPr="009518C2">
              <w:tab/>
            </w:r>
          </w:p>
        </w:tc>
        <w:tc>
          <w:tcPr>
            <w:tcW w:w="495" w:type="dxa"/>
            <w:shd w:val="clear" w:color="auto" w:fill="FFFFFF"/>
            <w:vAlign w:val="center"/>
          </w:tcPr>
          <w:p w14:paraId="5F274C33" w14:textId="77777777" w:rsidR="00A52A9A" w:rsidRDefault="00A52A9A" w:rsidP="00A86A0C">
            <w:pPr>
              <w:pStyle w:val="TableContents"/>
              <w:jc w:val="both"/>
            </w:pPr>
          </w:p>
        </w:tc>
        <w:tc>
          <w:tcPr>
            <w:tcW w:w="491" w:type="dxa"/>
            <w:shd w:val="clear" w:color="auto" w:fill="FFFFFF"/>
            <w:vAlign w:val="center"/>
          </w:tcPr>
          <w:p w14:paraId="01A32AA1" w14:textId="77777777" w:rsidR="00A52A9A" w:rsidRDefault="00A52A9A" w:rsidP="00A86A0C">
            <w:pPr>
              <w:pStyle w:val="TableContents"/>
              <w:jc w:val="both"/>
            </w:pPr>
          </w:p>
        </w:tc>
        <w:tc>
          <w:tcPr>
            <w:tcW w:w="492" w:type="dxa"/>
            <w:shd w:val="clear" w:color="auto" w:fill="FFFFFF"/>
            <w:vAlign w:val="center"/>
          </w:tcPr>
          <w:p w14:paraId="6BA71DC1" w14:textId="77777777" w:rsidR="00A52A9A" w:rsidRDefault="00A52A9A" w:rsidP="00A86A0C">
            <w:pPr>
              <w:pStyle w:val="TableContents"/>
              <w:jc w:val="both"/>
            </w:pPr>
          </w:p>
        </w:tc>
        <w:tc>
          <w:tcPr>
            <w:tcW w:w="1326" w:type="dxa"/>
            <w:shd w:val="clear" w:color="auto" w:fill="FFFFFF"/>
            <w:vAlign w:val="center"/>
          </w:tcPr>
          <w:p w14:paraId="052D68F5" w14:textId="77777777" w:rsidR="00A52A9A" w:rsidRDefault="00A52A9A" w:rsidP="00A86A0C">
            <w:pPr>
              <w:pStyle w:val="TableContents"/>
              <w:jc w:val="both"/>
            </w:pPr>
            <w:r>
              <w:rPr>
                <w:sz w:val="20"/>
                <w:lang w:val="en-US"/>
              </w:rPr>
              <w:t>30.09.2023</w:t>
            </w:r>
          </w:p>
        </w:tc>
      </w:tr>
      <w:tr w:rsidR="00A52A9A" w14:paraId="2B7F87C2" w14:textId="77777777" w:rsidTr="00880D6C">
        <w:tblPrEx>
          <w:tblCellMar>
            <w:left w:w="0" w:type="dxa"/>
          </w:tblCellMar>
        </w:tblPrEx>
        <w:tc>
          <w:tcPr>
            <w:tcW w:w="5911" w:type="dxa"/>
            <w:shd w:val="clear" w:color="auto" w:fill="DDD9C3"/>
          </w:tcPr>
          <w:p w14:paraId="00E9E29A" w14:textId="77777777" w:rsidR="00A52A9A" w:rsidRDefault="00A52A9A" w:rsidP="00A86A0C">
            <w:pPr>
              <w:pStyle w:val="TableContents"/>
              <w:jc w:val="both"/>
            </w:pPr>
            <w:r>
              <w:rPr>
                <w:b/>
                <w:sz w:val="20"/>
              </w:rPr>
              <w:lastRenderedPageBreak/>
              <w:t>4. Пристап до правда</w:t>
            </w:r>
          </w:p>
        </w:tc>
        <w:tc>
          <w:tcPr>
            <w:tcW w:w="1973" w:type="dxa"/>
            <w:gridSpan w:val="4"/>
            <w:shd w:val="clear" w:color="auto" w:fill="DDD9C3"/>
          </w:tcPr>
          <w:p w14:paraId="27A6CFE4" w14:textId="77777777" w:rsidR="00A52A9A" w:rsidRDefault="00A52A9A" w:rsidP="00A86A0C">
            <w:pPr>
              <w:pStyle w:val="TableContents"/>
              <w:jc w:val="both"/>
            </w:pPr>
          </w:p>
        </w:tc>
        <w:tc>
          <w:tcPr>
            <w:tcW w:w="1326" w:type="dxa"/>
            <w:shd w:val="clear" w:color="auto" w:fill="DDD9C3"/>
          </w:tcPr>
          <w:p w14:paraId="45821C2B" w14:textId="77777777" w:rsidR="00A52A9A" w:rsidRDefault="00A52A9A" w:rsidP="00A86A0C">
            <w:pPr>
              <w:pStyle w:val="TableContents"/>
              <w:jc w:val="both"/>
            </w:pPr>
          </w:p>
        </w:tc>
      </w:tr>
      <w:tr w:rsidR="00A52A9A" w14:paraId="259E2F04" w14:textId="77777777" w:rsidTr="00880D6C">
        <w:trPr>
          <w:trHeight w:val="735"/>
        </w:trPr>
        <w:tc>
          <w:tcPr>
            <w:tcW w:w="5911" w:type="dxa"/>
            <w:shd w:val="clear" w:color="auto" w:fill="FFFFFF"/>
          </w:tcPr>
          <w:p w14:paraId="5687EF72" w14:textId="77777777" w:rsidR="00A52A9A" w:rsidRDefault="00A52A9A" w:rsidP="00A86A0C">
            <w:pPr>
              <w:pStyle w:val="TableContents"/>
              <w:jc w:val="both"/>
            </w:pPr>
            <w:r>
              <w:rPr>
                <w:sz w:val="20"/>
                <w:lang w:val="en-US"/>
              </w:rPr>
              <w:t xml:space="preserve">4.1 </w:t>
            </w:r>
            <w:proofErr w:type="spellStart"/>
            <w:r>
              <w:rPr>
                <w:sz w:val="20"/>
                <w:lang w:val="en-US"/>
              </w:rPr>
              <w:t>Унапредување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заштитата</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сексуалните</w:t>
            </w:r>
            <w:proofErr w:type="spellEnd"/>
            <w:r>
              <w:rPr>
                <w:sz w:val="20"/>
                <w:lang w:val="en-US"/>
              </w:rPr>
              <w:t xml:space="preserve"> </w:t>
            </w:r>
            <w:proofErr w:type="spellStart"/>
            <w:r>
              <w:rPr>
                <w:sz w:val="20"/>
                <w:lang w:val="en-US"/>
              </w:rPr>
              <w:t>работници</w:t>
            </w:r>
            <w:proofErr w:type="spellEnd"/>
            <w:r>
              <w:rPr>
                <w:sz w:val="20"/>
                <w:lang w:val="en-US"/>
              </w:rPr>
              <w:t xml:space="preserve"> и </w:t>
            </w:r>
            <w:proofErr w:type="spellStart"/>
            <w:r>
              <w:rPr>
                <w:sz w:val="20"/>
                <w:lang w:val="en-US"/>
              </w:rPr>
              <w:t>лицата</w:t>
            </w:r>
            <w:proofErr w:type="spellEnd"/>
            <w:r>
              <w:rPr>
                <w:sz w:val="20"/>
                <w:lang w:val="en-US"/>
              </w:rPr>
              <w:t xml:space="preserve"> </w:t>
            </w:r>
            <w:proofErr w:type="spellStart"/>
            <w:r>
              <w:rPr>
                <w:sz w:val="20"/>
                <w:lang w:val="en-US"/>
              </w:rPr>
              <w:t>кои</w:t>
            </w:r>
            <w:proofErr w:type="spellEnd"/>
            <w:r>
              <w:rPr>
                <w:sz w:val="20"/>
                <w:lang w:val="en-US"/>
              </w:rPr>
              <w:t xml:space="preserve"> </w:t>
            </w:r>
            <w:proofErr w:type="spellStart"/>
            <w:r>
              <w:rPr>
                <w:sz w:val="20"/>
                <w:lang w:val="en-US"/>
              </w:rPr>
              <w:t>употребуваат</w:t>
            </w:r>
            <w:proofErr w:type="spellEnd"/>
            <w:r>
              <w:rPr>
                <w:sz w:val="20"/>
                <w:lang w:val="en-US"/>
              </w:rPr>
              <w:t xml:space="preserve"> </w:t>
            </w:r>
            <w:proofErr w:type="spellStart"/>
            <w:r>
              <w:rPr>
                <w:sz w:val="20"/>
                <w:lang w:val="en-US"/>
              </w:rPr>
              <w:t>дроги</w:t>
            </w:r>
            <w:proofErr w:type="spellEnd"/>
          </w:p>
        </w:tc>
        <w:tc>
          <w:tcPr>
            <w:tcW w:w="495" w:type="dxa"/>
            <w:shd w:val="clear" w:color="auto" w:fill="FFFFFF"/>
          </w:tcPr>
          <w:p w14:paraId="37F9DDAD" w14:textId="77777777" w:rsidR="00A52A9A" w:rsidRDefault="00A52A9A" w:rsidP="00A86A0C">
            <w:pPr>
              <w:pStyle w:val="TableContents"/>
              <w:jc w:val="both"/>
            </w:pPr>
          </w:p>
        </w:tc>
        <w:tc>
          <w:tcPr>
            <w:tcW w:w="495" w:type="dxa"/>
            <w:shd w:val="clear" w:color="auto" w:fill="FFFFFF"/>
          </w:tcPr>
          <w:p w14:paraId="07BA19F5" w14:textId="77777777" w:rsidR="00A52A9A" w:rsidRDefault="00A52A9A" w:rsidP="00A86A0C">
            <w:pPr>
              <w:pStyle w:val="TableContents"/>
              <w:jc w:val="both"/>
            </w:pPr>
          </w:p>
        </w:tc>
        <w:tc>
          <w:tcPr>
            <w:tcW w:w="491" w:type="dxa"/>
            <w:shd w:val="clear" w:color="auto" w:fill="2E74B5"/>
          </w:tcPr>
          <w:p w14:paraId="098272E5" w14:textId="77777777" w:rsidR="00A52A9A" w:rsidRDefault="00A52A9A" w:rsidP="00A86A0C">
            <w:pPr>
              <w:pStyle w:val="TableContents"/>
              <w:jc w:val="both"/>
            </w:pPr>
          </w:p>
        </w:tc>
        <w:tc>
          <w:tcPr>
            <w:tcW w:w="492" w:type="dxa"/>
            <w:shd w:val="clear" w:color="auto" w:fill="FFFFFF"/>
          </w:tcPr>
          <w:p w14:paraId="6C7E7914" w14:textId="77777777" w:rsidR="00A52A9A" w:rsidRDefault="00A52A9A" w:rsidP="00A86A0C">
            <w:pPr>
              <w:pStyle w:val="TableContents"/>
              <w:jc w:val="both"/>
            </w:pPr>
          </w:p>
        </w:tc>
        <w:tc>
          <w:tcPr>
            <w:tcW w:w="1326" w:type="dxa"/>
            <w:shd w:val="clear" w:color="auto" w:fill="FFFFFF"/>
          </w:tcPr>
          <w:p w14:paraId="4AF7F5D1" w14:textId="77777777" w:rsidR="00A52A9A" w:rsidRDefault="00A52A9A" w:rsidP="00A86A0C">
            <w:pPr>
              <w:pStyle w:val="TableContents"/>
              <w:jc w:val="both"/>
            </w:pPr>
            <w:r>
              <w:rPr>
                <w:sz w:val="20"/>
                <w:lang w:val="en-US"/>
              </w:rPr>
              <w:t>31.08.2023</w:t>
            </w:r>
          </w:p>
        </w:tc>
      </w:tr>
      <w:tr w:rsidR="00A52A9A" w14:paraId="5190992D" w14:textId="77777777" w:rsidTr="00880D6C">
        <w:trPr>
          <w:trHeight w:val="735"/>
        </w:trPr>
        <w:tc>
          <w:tcPr>
            <w:tcW w:w="5911" w:type="dxa"/>
            <w:shd w:val="clear" w:color="auto" w:fill="FFFFFF"/>
            <w:vAlign w:val="center"/>
          </w:tcPr>
          <w:p w14:paraId="407E68FF" w14:textId="77777777" w:rsidR="00A52A9A" w:rsidRDefault="00A52A9A" w:rsidP="00A86A0C">
            <w:pPr>
              <w:pStyle w:val="TableContents"/>
              <w:jc w:val="both"/>
            </w:pPr>
            <w:r>
              <w:rPr>
                <w:sz w:val="20"/>
                <w:lang w:val="en-US"/>
              </w:rPr>
              <w:t xml:space="preserve">4.2 </w:t>
            </w:r>
            <w:proofErr w:type="spellStart"/>
            <w:r>
              <w:rPr>
                <w:sz w:val="20"/>
                <w:lang w:val="en-US"/>
              </w:rPr>
              <w:t>Унапредување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пристап</w:t>
            </w:r>
            <w:proofErr w:type="spellEnd"/>
            <w:r>
              <w:rPr>
                <w:sz w:val="20"/>
                <w:lang w:val="en-US"/>
              </w:rPr>
              <w:t xml:space="preserve"> </w:t>
            </w:r>
            <w:proofErr w:type="spellStart"/>
            <w:r>
              <w:rPr>
                <w:sz w:val="20"/>
                <w:lang w:val="en-US"/>
              </w:rPr>
              <w:t>до</w:t>
            </w:r>
            <w:proofErr w:type="spellEnd"/>
            <w:r>
              <w:rPr>
                <w:sz w:val="20"/>
                <w:lang w:val="en-US"/>
              </w:rPr>
              <w:t xml:space="preserve"> </w:t>
            </w:r>
            <w:proofErr w:type="spellStart"/>
            <w:r>
              <w:rPr>
                <w:sz w:val="20"/>
                <w:lang w:val="en-US"/>
              </w:rPr>
              <w:t>правда</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социјално</w:t>
            </w:r>
            <w:proofErr w:type="spellEnd"/>
            <w:r>
              <w:rPr>
                <w:sz w:val="20"/>
                <w:lang w:val="en-US"/>
              </w:rPr>
              <w:t xml:space="preserve"> </w:t>
            </w:r>
            <w:proofErr w:type="spellStart"/>
            <w:r>
              <w:rPr>
                <w:sz w:val="20"/>
                <w:lang w:val="en-US"/>
              </w:rPr>
              <w:t>загрозени</w:t>
            </w:r>
            <w:proofErr w:type="spellEnd"/>
            <w:r>
              <w:rPr>
                <w:sz w:val="20"/>
                <w:lang w:val="en-US"/>
              </w:rPr>
              <w:t xml:space="preserve"> и </w:t>
            </w:r>
            <w:proofErr w:type="spellStart"/>
            <w:r>
              <w:rPr>
                <w:sz w:val="20"/>
                <w:lang w:val="en-US"/>
              </w:rPr>
              <w:t>граѓани</w:t>
            </w:r>
            <w:proofErr w:type="spellEnd"/>
            <w:r>
              <w:rPr>
                <w:sz w:val="20"/>
                <w:lang w:val="en-US"/>
              </w:rPr>
              <w:t xml:space="preserve"> </w:t>
            </w:r>
            <w:proofErr w:type="spellStart"/>
            <w:r>
              <w:rPr>
                <w:sz w:val="20"/>
                <w:lang w:val="en-US"/>
              </w:rPr>
              <w:t>во</w:t>
            </w:r>
            <w:proofErr w:type="spellEnd"/>
            <w:r>
              <w:rPr>
                <w:sz w:val="20"/>
                <w:lang w:val="en-US"/>
              </w:rPr>
              <w:t xml:space="preserve"> </w:t>
            </w:r>
            <w:proofErr w:type="spellStart"/>
            <w:r>
              <w:rPr>
                <w:sz w:val="20"/>
                <w:lang w:val="en-US"/>
              </w:rPr>
              <w:t>социјален</w:t>
            </w:r>
            <w:proofErr w:type="spellEnd"/>
            <w:r>
              <w:rPr>
                <w:sz w:val="20"/>
                <w:lang w:val="en-US"/>
              </w:rPr>
              <w:t xml:space="preserve"> </w:t>
            </w:r>
            <w:proofErr w:type="spellStart"/>
            <w:r>
              <w:rPr>
                <w:sz w:val="20"/>
                <w:lang w:val="en-US"/>
              </w:rPr>
              <w:t>ризик</w:t>
            </w:r>
            <w:proofErr w:type="spellEnd"/>
          </w:p>
        </w:tc>
        <w:tc>
          <w:tcPr>
            <w:tcW w:w="495" w:type="dxa"/>
            <w:shd w:val="clear" w:color="auto" w:fill="2E74B5"/>
            <w:vAlign w:val="center"/>
          </w:tcPr>
          <w:p w14:paraId="4C8ECF7C" w14:textId="77777777" w:rsidR="00A52A9A" w:rsidRDefault="00A52A9A" w:rsidP="00A86A0C">
            <w:pPr>
              <w:pStyle w:val="TableContents"/>
              <w:jc w:val="both"/>
            </w:pPr>
          </w:p>
        </w:tc>
        <w:tc>
          <w:tcPr>
            <w:tcW w:w="495" w:type="dxa"/>
            <w:shd w:val="clear" w:color="auto" w:fill="FFFFFF"/>
            <w:vAlign w:val="center"/>
          </w:tcPr>
          <w:p w14:paraId="1DBAA184" w14:textId="77777777" w:rsidR="00A52A9A" w:rsidRDefault="00A52A9A" w:rsidP="00A86A0C">
            <w:pPr>
              <w:pStyle w:val="TableContents"/>
              <w:jc w:val="both"/>
            </w:pPr>
          </w:p>
        </w:tc>
        <w:tc>
          <w:tcPr>
            <w:tcW w:w="491" w:type="dxa"/>
            <w:shd w:val="clear" w:color="auto" w:fill="FFFFFF"/>
            <w:vAlign w:val="center"/>
          </w:tcPr>
          <w:p w14:paraId="1BD2F3C9" w14:textId="77777777" w:rsidR="00A52A9A" w:rsidRDefault="00A52A9A" w:rsidP="00A86A0C">
            <w:pPr>
              <w:pStyle w:val="TableContents"/>
              <w:jc w:val="both"/>
            </w:pPr>
          </w:p>
        </w:tc>
        <w:tc>
          <w:tcPr>
            <w:tcW w:w="492" w:type="dxa"/>
            <w:shd w:val="clear" w:color="auto" w:fill="FFFFFF"/>
            <w:vAlign w:val="center"/>
          </w:tcPr>
          <w:p w14:paraId="06DF2DA8" w14:textId="77777777" w:rsidR="00A52A9A" w:rsidRDefault="00A52A9A" w:rsidP="00A86A0C">
            <w:pPr>
              <w:pStyle w:val="TableContents"/>
              <w:jc w:val="both"/>
            </w:pPr>
          </w:p>
        </w:tc>
        <w:tc>
          <w:tcPr>
            <w:tcW w:w="1326" w:type="dxa"/>
            <w:shd w:val="clear" w:color="auto" w:fill="FFFFFF"/>
            <w:vAlign w:val="center"/>
          </w:tcPr>
          <w:p w14:paraId="3AE72C05" w14:textId="77777777" w:rsidR="00A52A9A" w:rsidRDefault="00A52A9A" w:rsidP="00A86A0C">
            <w:pPr>
              <w:pStyle w:val="TableContents"/>
              <w:jc w:val="both"/>
            </w:pPr>
            <w:r>
              <w:rPr>
                <w:sz w:val="20"/>
                <w:lang w:val="en-US"/>
              </w:rPr>
              <w:t>31.08.2023</w:t>
            </w:r>
          </w:p>
        </w:tc>
      </w:tr>
      <w:tr w:rsidR="00A52A9A" w14:paraId="2CDC0B93" w14:textId="77777777" w:rsidTr="00880D6C">
        <w:trPr>
          <w:trHeight w:val="735"/>
        </w:trPr>
        <w:tc>
          <w:tcPr>
            <w:tcW w:w="5911" w:type="dxa"/>
            <w:shd w:val="clear" w:color="auto" w:fill="FFFFFF"/>
            <w:vAlign w:val="center"/>
          </w:tcPr>
          <w:p w14:paraId="335139A0" w14:textId="77777777" w:rsidR="00A52A9A" w:rsidRDefault="00A52A9A" w:rsidP="00A86A0C">
            <w:pPr>
              <w:pStyle w:val="TableContents"/>
              <w:jc w:val="both"/>
            </w:pPr>
            <w:r>
              <w:rPr>
                <w:sz w:val="20"/>
                <w:lang w:val="en-US"/>
              </w:rPr>
              <w:t xml:space="preserve">4.3 </w:t>
            </w:r>
            <w:proofErr w:type="spellStart"/>
            <w:r>
              <w:rPr>
                <w:sz w:val="20"/>
                <w:lang w:val="en-US"/>
              </w:rPr>
              <w:t>Пристап</w:t>
            </w:r>
            <w:proofErr w:type="spellEnd"/>
            <w:r>
              <w:rPr>
                <w:sz w:val="20"/>
                <w:lang w:val="en-US"/>
              </w:rPr>
              <w:t xml:space="preserve"> </w:t>
            </w:r>
            <w:proofErr w:type="spellStart"/>
            <w:r>
              <w:rPr>
                <w:sz w:val="20"/>
                <w:lang w:val="en-US"/>
              </w:rPr>
              <w:t>до</w:t>
            </w:r>
            <w:proofErr w:type="spellEnd"/>
            <w:r>
              <w:rPr>
                <w:sz w:val="20"/>
                <w:lang w:val="en-US"/>
              </w:rPr>
              <w:t xml:space="preserve"> </w:t>
            </w:r>
            <w:proofErr w:type="spellStart"/>
            <w:r>
              <w:rPr>
                <w:sz w:val="20"/>
                <w:lang w:val="en-US"/>
              </w:rPr>
              <w:t>правда</w:t>
            </w:r>
            <w:proofErr w:type="spellEnd"/>
            <w:r>
              <w:rPr>
                <w:sz w:val="20"/>
                <w:lang w:val="en-US"/>
              </w:rPr>
              <w:t xml:space="preserve"> </w:t>
            </w:r>
            <w:proofErr w:type="spellStart"/>
            <w:r>
              <w:rPr>
                <w:sz w:val="20"/>
                <w:lang w:val="en-US"/>
              </w:rPr>
              <w:t>за</w:t>
            </w:r>
            <w:proofErr w:type="spellEnd"/>
            <w:r>
              <w:rPr>
                <w:sz w:val="20"/>
                <w:lang w:val="en-US"/>
              </w:rPr>
              <w:t xml:space="preserve"> </w:t>
            </w:r>
            <w:proofErr w:type="spellStart"/>
            <w:r>
              <w:rPr>
                <w:sz w:val="20"/>
                <w:lang w:val="en-US"/>
              </w:rPr>
              <w:t>жени</w:t>
            </w:r>
            <w:proofErr w:type="spellEnd"/>
            <w:r>
              <w:rPr>
                <w:sz w:val="20"/>
                <w:lang w:val="en-US"/>
              </w:rPr>
              <w:t xml:space="preserve"> </w:t>
            </w:r>
            <w:proofErr w:type="spellStart"/>
            <w:r>
              <w:rPr>
                <w:sz w:val="20"/>
                <w:lang w:val="en-US"/>
              </w:rPr>
              <w:t>кои</w:t>
            </w:r>
            <w:proofErr w:type="spellEnd"/>
            <w:r>
              <w:rPr>
                <w:sz w:val="20"/>
                <w:lang w:val="en-US"/>
              </w:rPr>
              <w:t xml:space="preserve"> </w:t>
            </w:r>
            <w:proofErr w:type="spellStart"/>
            <w:r>
              <w:rPr>
                <w:sz w:val="20"/>
                <w:lang w:val="en-US"/>
              </w:rPr>
              <w:t>претрпеле</w:t>
            </w:r>
            <w:proofErr w:type="spellEnd"/>
            <w:r>
              <w:rPr>
                <w:sz w:val="20"/>
                <w:lang w:val="en-US"/>
              </w:rPr>
              <w:t xml:space="preserve"> </w:t>
            </w:r>
            <w:proofErr w:type="spellStart"/>
            <w:r>
              <w:rPr>
                <w:sz w:val="20"/>
                <w:lang w:val="en-US"/>
              </w:rPr>
              <w:t>семејно</w:t>
            </w:r>
            <w:proofErr w:type="spellEnd"/>
            <w:r>
              <w:rPr>
                <w:sz w:val="20"/>
                <w:lang w:val="en-US"/>
              </w:rPr>
              <w:t xml:space="preserve"> </w:t>
            </w:r>
            <w:proofErr w:type="spellStart"/>
            <w:r>
              <w:rPr>
                <w:sz w:val="20"/>
                <w:lang w:val="en-US"/>
              </w:rPr>
              <w:t>насилство</w:t>
            </w:r>
            <w:proofErr w:type="spellEnd"/>
          </w:p>
        </w:tc>
        <w:tc>
          <w:tcPr>
            <w:tcW w:w="495" w:type="dxa"/>
            <w:shd w:val="clear" w:color="auto" w:fill="FFFFFF"/>
            <w:vAlign w:val="center"/>
          </w:tcPr>
          <w:p w14:paraId="4E1C86A4" w14:textId="77777777" w:rsidR="00A52A9A" w:rsidRDefault="00A52A9A" w:rsidP="00A86A0C">
            <w:pPr>
              <w:pStyle w:val="TableContents"/>
              <w:jc w:val="both"/>
            </w:pPr>
          </w:p>
        </w:tc>
        <w:tc>
          <w:tcPr>
            <w:tcW w:w="495" w:type="dxa"/>
            <w:shd w:val="clear" w:color="auto" w:fill="FFFFFF"/>
            <w:vAlign w:val="center"/>
          </w:tcPr>
          <w:p w14:paraId="3766216A" w14:textId="77777777" w:rsidR="00A52A9A" w:rsidRDefault="00A52A9A" w:rsidP="00A86A0C">
            <w:pPr>
              <w:pStyle w:val="TableContents"/>
              <w:jc w:val="both"/>
            </w:pPr>
          </w:p>
        </w:tc>
        <w:tc>
          <w:tcPr>
            <w:tcW w:w="491" w:type="dxa"/>
            <w:shd w:val="clear" w:color="auto" w:fill="2E74B5"/>
            <w:vAlign w:val="center"/>
          </w:tcPr>
          <w:p w14:paraId="641C9F32" w14:textId="77777777" w:rsidR="00A52A9A" w:rsidRDefault="00A52A9A" w:rsidP="00A86A0C">
            <w:pPr>
              <w:pStyle w:val="TableContents"/>
              <w:jc w:val="both"/>
            </w:pPr>
          </w:p>
        </w:tc>
        <w:tc>
          <w:tcPr>
            <w:tcW w:w="492" w:type="dxa"/>
            <w:shd w:val="clear" w:color="auto" w:fill="FFFFFF"/>
            <w:vAlign w:val="center"/>
          </w:tcPr>
          <w:p w14:paraId="39142A24" w14:textId="77777777" w:rsidR="00A52A9A" w:rsidRDefault="00A52A9A" w:rsidP="00A86A0C">
            <w:pPr>
              <w:pStyle w:val="TableContents"/>
              <w:jc w:val="both"/>
            </w:pPr>
          </w:p>
        </w:tc>
        <w:tc>
          <w:tcPr>
            <w:tcW w:w="1326" w:type="dxa"/>
            <w:shd w:val="clear" w:color="auto" w:fill="FFFFFF"/>
            <w:vAlign w:val="center"/>
          </w:tcPr>
          <w:p w14:paraId="55A16CE9" w14:textId="77777777" w:rsidR="00A52A9A" w:rsidRDefault="00A52A9A" w:rsidP="00A86A0C">
            <w:pPr>
              <w:pStyle w:val="TableContents"/>
              <w:jc w:val="both"/>
            </w:pPr>
            <w:r>
              <w:rPr>
                <w:sz w:val="20"/>
                <w:lang w:val="en-US"/>
              </w:rPr>
              <w:t>31.08.2022</w:t>
            </w:r>
          </w:p>
        </w:tc>
      </w:tr>
      <w:tr w:rsidR="00A52A9A" w14:paraId="6B327432" w14:textId="77777777" w:rsidTr="00880D6C">
        <w:trPr>
          <w:trHeight w:val="735"/>
        </w:trPr>
        <w:tc>
          <w:tcPr>
            <w:tcW w:w="5911" w:type="dxa"/>
            <w:shd w:val="clear" w:color="auto" w:fill="FFFFFF"/>
            <w:vAlign w:val="center"/>
          </w:tcPr>
          <w:p w14:paraId="10B4D395" w14:textId="77777777" w:rsidR="00A52A9A" w:rsidRDefault="00A52A9A" w:rsidP="00A86A0C">
            <w:pPr>
              <w:pStyle w:val="TableContents"/>
              <w:jc w:val="both"/>
            </w:pPr>
            <w:r>
              <w:rPr>
                <w:sz w:val="20"/>
                <w:lang w:val="en-US"/>
              </w:rPr>
              <w:t xml:space="preserve">4.4 </w:t>
            </w:r>
            <w:proofErr w:type="spellStart"/>
            <w:r>
              <w:rPr>
                <w:sz w:val="20"/>
                <w:lang w:val="en-US"/>
              </w:rPr>
              <w:t>Правно</w:t>
            </w:r>
            <w:proofErr w:type="spellEnd"/>
            <w:r>
              <w:rPr>
                <w:sz w:val="20"/>
                <w:lang w:val="en-US"/>
              </w:rPr>
              <w:t xml:space="preserve"> </w:t>
            </w:r>
            <w:proofErr w:type="spellStart"/>
            <w:r>
              <w:rPr>
                <w:sz w:val="20"/>
                <w:lang w:val="en-US"/>
              </w:rPr>
              <w:t>зајакнување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граѓаните</w:t>
            </w:r>
            <w:proofErr w:type="spellEnd"/>
            <w:r>
              <w:rPr>
                <w:sz w:val="20"/>
                <w:lang w:val="en-US"/>
              </w:rPr>
              <w:t xml:space="preserve"> </w:t>
            </w:r>
            <w:proofErr w:type="spellStart"/>
            <w:r>
              <w:rPr>
                <w:sz w:val="20"/>
                <w:lang w:val="en-US"/>
              </w:rPr>
              <w:t>преку</w:t>
            </w:r>
            <w:proofErr w:type="spellEnd"/>
            <w:r>
              <w:rPr>
                <w:sz w:val="20"/>
                <w:lang w:val="en-US"/>
              </w:rPr>
              <w:t xml:space="preserve"> </w:t>
            </w:r>
            <w:proofErr w:type="spellStart"/>
            <w:r>
              <w:rPr>
                <w:sz w:val="20"/>
                <w:lang w:val="en-US"/>
              </w:rPr>
              <w:t>достапни</w:t>
            </w:r>
            <w:proofErr w:type="spellEnd"/>
            <w:r>
              <w:rPr>
                <w:sz w:val="20"/>
                <w:lang w:val="en-US"/>
              </w:rPr>
              <w:t xml:space="preserve"> </w:t>
            </w:r>
            <w:proofErr w:type="spellStart"/>
            <w:r>
              <w:rPr>
                <w:sz w:val="20"/>
                <w:lang w:val="en-US"/>
              </w:rPr>
              <w:t>информации</w:t>
            </w:r>
            <w:proofErr w:type="spellEnd"/>
            <w:r>
              <w:rPr>
                <w:sz w:val="20"/>
                <w:lang w:val="en-US"/>
              </w:rPr>
              <w:t xml:space="preserve"> и </w:t>
            </w:r>
            <w:proofErr w:type="spellStart"/>
            <w:r>
              <w:rPr>
                <w:sz w:val="20"/>
                <w:lang w:val="en-US"/>
              </w:rPr>
              <w:t>отворени</w:t>
            </w:r>
            <w:proofErr w:type="spellEnd"/>
            <w:r>
              <w:rPr>
                <w:sz w:val="20"/>
                <w:lang w:val="en-US"/>
              </w:rPr>
              <w:t xml:space="preserve"> </w:t>
            </w:r>
            <w:proofErr w:type="spellStart"/>
            <w:r>
              <w:rPr>
                <w:sz w:val="20"/>
                <w:lang w:val="en-US"/>
              </w:rPr>
              <w:t>институции</w:t>
            </w:r>
            <w:proofErr w:type="spellEnd"/>
          </w:p>
        </w:tc>
        <w:tc>
          <w:tcPr>
            <w:tcW w:w="495" w:type="dxa"/>
            <w:shd w:val="clear" w:color="auto" w:fill="FFFFFF"/>
            <w:vAlign w:val="center"/>
          </w:tcPr>
          <w:p w14:paraId="0425B20E" w14:textId="77777777" w:rsidR="00A52A9A" w:rsidRDefault="00A52A9A" w:rsidP="00A86A0C">
            <w:pPr>
              <w:pStyle w:val="TableContents"/>
              <w:jc w:val="both"/>
            </w:pPr>
          </w:p>
        </w:tc>
        <w:tc>
          <w:tcPr>
            <w:tcW w:w="495" w:type="dxa"/>
            <w:shd w:val="clear" w:color="auto" w:fill="2E74B5"/>
            <w:vAlign w:val="center"/>
          </w:tcPr>
          <w:p w14:paraId="352C7C08" w14:textId="77777777" w:rsidR="00A52A9A" w:rsidRDefault="00A52A9A" w:rsidP="00A86A0C">
            <w:pPr>
              <w:pStyle w:val="TableContents"/>
              <w:jc w:val="both"/>
            </w:pPr>
          </w:p>
        </w:tc>
        <w:tc>
          <w:tcPr>
            <w:tcW w:w="491" w:type="dxa"/>
            <w:shd w:val="clear" w:color="auto" w:fill="FFFFFF"/>
            <w:vAlign w:val="center"/>
          </w:tcPr>
          <w:p w14:paraId="069F1A8C" w14:textId="77777777" w:rsidR="00A52A9A" w:rsidRDefault="00A52A9A" w:rsidP="00A86A0C">
            <w:pPr>
              <w:pStyle w:val="TableContents"/>
              <w:jc w:val="both"/>
            </w:pPr>
          </w:p>
        </w:tc>
        <w:tc>
          <w:tcPr>
            <w:tcW w:w="492" w:type="dxa"/>
            <w:shd w:val="clear" w:color="auto" w:fill="FFFFFF"/>
            <w:vAlign w:val="center"/>
          </w:tcPr>
          <w:p w14:paraId="20CA25F5" w14:textId="77777777" w:rsidR="00A52A9A" w:rsidRDefault="00A52A9A" w:rsidP="00A86A0C">
            <w:pPr>
              <w:pStyle w:val="TableContents"/>
              <w:jc w:val="both"/>
            </w:pPr>
          </w:p>
        </w:tc>
        <w:tc>
          <w:tcPr>
            <w:tcW w:w="1326" w:type="dxa"/>
            <w:shd w:val="clear" w:color="auto" w:fill="FFFFFF"/>
            <w:vAlign w:val="center"/>
          </w:tcPr>
          <w:p w14:paraId="061EEB38" w14:textId="77777777" w:rsidR="00A52A9A" w:rsidRDefault="00A52A9A" w:rsidP="00A86A0C">
            <w:pPr>
              <w:pStyle w:val="TableContents"/>
              <w:jc w:val="both"/>
            </w:pPr>
            <w:r>
              <w:rPr>
                <w:sz w:val="20"/>
                <w:lang w:val="en-US"/>
              </w:rPr>
              <w:t>31.08.2023</w:t>
            </w:r>
          </w:p>
        </w:tc>
      </w:tr>
      <w:tr w:rsidR="00A52A9A" w14:paraId="6BDEC644" w14:textId="77777777" w:rsidTr="00880D6C">
        <w:tblPrEx>
          <w:tblCellMar>
            <w:left w:w="0" w:type="dxa"/>
          </w:tblCellMar>
        </w:tblPrEx>
        <w:tc>
          <w:tcPr>
            <w:tcW w:w="5911" w:type="dxa"/>
            <w:shd w:val="clear" w:color="auto" w:fill="DDD9C3"/>
          </w:tcPr>
          <w:p w14:paraId="09A08C7E" w14:textId="77777777" w:rsidR="00A52A9A" w:rsidRDefault="00A52A9A" w:rsidP="00A86A0C">
            <w:pPr>
              <w:pStyle w:val="TableContents"/>
              <w:jc w:val="both"/>
            </w:pPr>
            <w:r>
              <w:rPr>
                <w:b/>
                <w:sz w:val="20"/>
              </w:rPr>
              <w:t>5. Животна средина и климатски промени</w:t>
            </w:r>
          </w:p>
        </w:tc>
        <w:tc>
          <w:tcPr>
            <w:tcW w:w="1973" w:type="dxa"/>
            <w:gridSpan w:val="4"/>
            <w:shd w:val="clear" w:color="auto" w:fill="DDD9C3"/>
          </w:tcPr>
          <w:p w14:paraId="6F3A67A8" w14:textId="77777777" w:rsidR="00A52A9A" w:rsidRDefault="00A52A9A" w:rsidP="00A86A0C">
            <w:pPr>
              <w:pStyle w:val="TableContents"/>
              <w:jc w:val="both"/>
            </w:pPr>
          </w:p>
        </w:tc>
        <w:tc>
          <w:tcPr>
            <w:tcW w:w="1326" w:type="dxa"/>
            <w:shd w:val="clear" w:color="auto" w:fill="DDD9C3"/>
          </w:tcPr>
          <w:p w14:paraId="2EA7867A" w14:textId="77777777" w:rsidR="00A52A9A" w:rsidRDefault="00A52A9A" w:rsidP="00A86A0C">
            <w:pPr>
              <w:pStyle w:val="TableContents"/>
              <w:jc w:val="both"/>
            </w:pPr>
          </w:p>
        </w:tc>
      </w:tr>
      <w:tr w:rsidR="00A52A9A" w14:paraId="77AB43CE" w14:textId="77777777" w:rsidTr="00880D6C">
        <w:trPr>
          <w:trHeight w:val="735"/>
        </w:trPr>
        <w:tc>
          <w:tcPr>
            <w:tcW w:w="5911" w:type="dxa"/>
            <w:shd w:val="clear" w:color="auto" w:fill="FFFFFF"/>
          </w:tcPr>
          <w:p w14:paraId="5C6917A3" w14:textId="77777777" w:rsidR="00A52A9A" w:rsidRDefault="00A52A9A" w:rsidP="00A86A0C">
            <w:pPr>
              <w:pStyle w:val="TableContents"/>
              <w:jc w:val="both"/>
            </w:pPr>
            <w:r>
              <w:rPr>
                <w:sz w:val="20"/>
                <w:lang w:val="en-US"/>
              </w:rPr>
              <w:t xml:space="preserve">5.1 </w:t>
            </w:r>
            <w:proofErr w:type="spellStart"/>
            <w:r>
              <w:rPr>
                <w:sz w:val="20"/>
                <w:lang w:val="en-US"/>
              </w:rPr>
              <w:t>Намалување</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ефектите</w:t>
            </w:r>
            <w:proofErr w:type="spellEnd"/>
            <w:r>
              <w:rPr>
                <w:sz w:val="20"/>
                <w:lang w:val="en-US"/>
              </w:rPr>
              <w:t xml:space="preserve"> </w:t>
            </w:r>
            <w:proofErr w:type="spellStart"/>
            <w:r>
              <w:rPr>
                <w:sz w:val="20"/>
                <w:lang w:val="en-US"/>
              </w:rPr>
              <w:t>од</w:t>
            </w:r>
            <w:proofErr w:type="spellEnd"/>
            <w:r>
              <w:rPr>
                <w:sz w:val="20"/>
                <w:lang w:val="en-US"/>
              </w:rPr>
              <w:t xml:space="preserve"> </w:t>
            </w:r>
            <w:proofErr w:type="spellStart"/>
            <w:r>
              <w:rPr>
                <w:sz w:val="20"/>
                <w:lang w:val="en-US"/>
              </w:rPr>
              <w:t>климатските</w:t>
            </w:r>
            <w:proofErr w:type="spellEnd"/>
            <w:r>
              <w:rPr>
                <w:sz w:val="20"/>
                <w:lang w:val="en-US"/>
              </w:rPr>
              <w:t xml:space="preserve"> </w:t>
            </w:r>
            <w:proofErr w:type="spellStart"/>
            <w:r>
              <w:rPr>
                <w:sz w:val="20"/>
                <w:lang w:val="en-US"/>
              </w:rPr>
              <w:t>промени</w:t>
            </w:r>
            <w:proofErr w:type="spellEnd"/>
            <w:r>
              <w:rPr>
                <w:sz w:val="20"/>
                <w:lang w:val="en-US"/>
              </w:rPr>
              <w:t xml:space="preserve"> и </w:t>
            </w:r>
            <w:proofErr w:type="spellStart"/>
            <w:r>
              <w:rPr>
                <w:sz w:val="20"/>
                <w:lang w:val="en-US"/>
              </w:rPr>
              <w:t>заштита</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животната</w:t>
            </w:r>
            <w:proofErr w:type="spellEnd"/>
            <w:r>
              <w:rPr>
                <w:sz w:val="20"/>
                <w:lang w:val="en-US"/>
              </w:rPr>
              <w:t xml:space="preserve"> </w:t>
            </w:r>
            <w:proofErr w:type="spellStart"/>
            <w:r>
              <w:rPr>
                <w:sz w:val="20"/>
                <w:lang w:val="en-US"/>
              </w:rPr>
              <w:t>средина</w:t>
            </w:r>
            <w:proofErr w:type="spellEnd"/>
            <w:r>
              <w:rPr>
                <w:sz w:val="20"/>
                <w:lang w:val="en-US"/>
              </w:rPr>
              <w:t xml:space="preserve"> </w:t>
            </w:r>
            <w:proofErr w:type="spellStart"/>
            <w:r>
              <w:rPr>
                <w:sz w:val="20"/>
                <w:lang w:val="en-US"/>
              </w:rPr>
              <w:t>од</w:t>
            </w:r>
            <w:proofErr w:type="spellEnd"/>
            <w:r>
              <w:rPr>
                <w:sz w:val="20"/>
                <w:lang w:val="en-US"/>
              </w:rPr>
              <w:t xml:space="preserve"> </w:t>
            </w:r>
            <w:proofErr w:type="spellStart"/>
            <w:r>
              <w:rPr>
                <w:sz w:val="20"/>
                <w:lang w:val="en-US"/>
              </w:rPr>
              <w:t>земјоделските</w:t>
            </w:r>
            <w:proofErr w:type="spellEnd"/>
            <w:r>
              <w:rPr>
                <w:sz w:val="20"/>
                <w:lang w:val="en-US"/>
              </w:rPr>
              <w:t xml:space="preserve"> </w:t>
            </w:r>
            <w:proofErr w:type="spellStart"/>
            <w:r>
              <w:rPr>
                <w:sz w:val="20"/>
                <w:lang w:val="en-US"/>
              </w:rPr>
              <w:t>активности</w:t>
            </w:r>
            <w:proofErr w:type="spellEnd"/>
          </w:p>
        </w:tc>
        <w:tc>
          <w:tcPr>
            <w:tcW w:w="495" w:type="dxa"/>
            <w:shd w:val="clear" w:color="auto" w:fill="2E74B5"/>
          </w:tcPr>
          <w:p w14:paraId="46BCA8A6" w14:textId="77777777" w:rsidR="00A52A9A" w:rsidRDefault="00A52A9A" w:rsidP="00A86A0C">
            <w:pPr>
              <w:pStyle w:val="TableContents"/>
              <w:jc w:val="both"/>
            </w:pPr>
          </w:p>
        </w:tc>
        <w:tc>
          <w:tcPr>
            <w:tcW w:w="495" w:type="dxa"/>
            <w:shd w:val="clear" w:color="auto" w:fill="FFFFFF"/>
          </w:tcPr>
          <w:p w14:paraId="4E9EB960" w14:textId="77777777" w:rsidR="00A52A9A" w:rsidRDefault="00A52A9A" w:rsidP="00A86A0C">
            <w:pPr>
              <w:pStyle w:val="TableContents"/>
              <w:jc w:val="both"/>
            </w:pPr>
          </w:p>
        </w:tc>
        <w:tc>
          <w:tcPr>
            <w:tcW w:w="491" w:type="dxa"/>
            <w:shd w:val="clear" w:color="auto" w:fill="FFFFFF"/>
          </w:tcPr>
          <w:p w14:paraId="3A3A863F" w14:textId="77777777" w:rsidR="00A52A9A" w:rsidRDefault="00A52A9A" w:rsidP="00A86A0C">
            <w:pPr>
              <w:pStyle w:val="TableContents"/>
              <w:jc w:val="both"/>
            </w:pPr>
          </w:p>
        </w:tc>
        <w:tc>
          <w:tcPr>
            <w:tcW w:w="492" w:type="dxa"/>
            <w:shd w:val="clear" w:color="auto" w:fill="FFFFFF"/>
          </w:tcPr>
          <w:p w14:paraId="723CE7B7" w14:textId="77777777" w:rsidR="00A52A9A" w:rsidRDefault="00A52A9A" w:rsidP="00A86A0C">
            <w:pPr>
              <w:pStyle w:val="TableContents"/>
              <w:jc w:val="both"/>
            </w:pPr>
          </w:p>
        </w:tc>
        <w:tc>
          <w:tcPr>
            <w:tcW w:w="1326" w:type="dxa"/>
            <w:shd w:val="clear" w:color="auto" w:fill="FFFFFF"/>
          </w:tcPr>
          <w:p w14:paraId="2592469A" w14:textId="77777777" w:rsidR="00A52A9A" w:rsidRDefault="00A52A9A" w:rsidP="00A86A0C">
            <w:pPr>
              <w:pStyle w:val="TableContents"/>
              <w:jc w:val="both"/>
            </w:pPr>
            <w:r>
              <w:rPr>
                <w:sz w:val="20"/>
                <w:lang w:val="en-US"/>
              </w:rPr>
              <w:t>31.03.2023</w:t>
            </w:r>
          </w:p>
        </w:tc>
      </w:tr>
      <w:tr w:rsidR="00A52A9A" w14:paraId="4688AB23" w14:textId="77777777" w:rsidTr="00880D6C">
        <w:trPr>
          <w:trHeight w:val="750"/>
        </w:trPr>
        <w:tc>
          <w:tcPr>
            <w:tcW w:w="5911" w:type="dxa"/>
            <w:shd w:val="clear" w:color="auto" w:fill="FFFFFF"/>
            <w:vAlign w:val="center"/>
          </w:tcPr>
          <w:p w14:paraId="00552914" w14:textId="77777777" w:rsidR="00A52A9A" w:rsidRDefault="00A52A9A" w:rsidP="00A86A0C">
            <w:pPr>
              <w:pStyle w:val="TableContents"/>
              <w:jc w:val="both"/>
            </w:pPr>
            <w:r>
              <w:rPr>
                <w:sz w:val="20"/>
                <w:lang w:val="en-US"/>
              </w:rPr>
              <w:t xml:space="preserve">5.2 </w:t>
            </w:r>
            <w:proofErr w:type="spellStart"/>
            <w:r>
              <w:rPr>
                <w:sz w:val="20"/>
                <w:lang w:val="en-US"/>
              </w:rPr>
              <w:t>Пристап</w:t>
            </w:r>
            <w:proofErr w:type="spellEnd"/>
            <w:r>
              <w:rPr>
                <w:sz w:val="20"/>
                <w:lang w:val="en-US"/>
              </w:rPr>
              <w:t xml:space="preserve"> </w:t>
            </w:r>
            <w:proofErr w:type="spellStart"/>
            <w:r>
              <w:rPr>
                <w:sz w:val="20"/>
                <w:lang w:val="en-US"/>
              </w:rPr>
              <w:t>до</w:t>
            </w:r>
            <w:proofErr w:type="spellEnd"/>
            <w:r>
              <w:rPr>
                <w:sz w:val="20"/>
                <w:lang w:val="en-US"/>
              </w:rPr>
              <w:t xml:space="preserve"> </w:t>
            </w:r>
            <w:proofErr w:type="spellStart"/>
            <w:r>
              <w:rPr>
                <w:sz w:val="20"/>
                <w:lang w:val="en-US"/>
              </w:rPr>
              <w:t>информации</w:t>
            </w:r>
            <w:proofErr w:type="spellEnd"/>
            <w:r>
              <w:rPr>
                <w:sz w:val="20"/>
                <w:lang w:val="en-US"/>
              </w:rPr>
              <w:t xml:space="preserve"> </w:t>
            </w:r>
            <w:proofErr w:type="spellStart"/>
            <w:r>
              <w:rPr>
                <w:sz w:val="20"/>
                <w:lang w:val="en-US"/>
              </w:rPr>
              <w:t>за</w:t>
            </w:r>
            <w:proofErr w:type="spellEnd"/>
            <w:r>
              <w:rPr>
                <w:sz w:val="20"/>
                <w:lang w:val="en-US"/>
              </w:rPr>
              <w:t xml:space="preserve"> </w:t>
            </w:r>
            <w:proofErr w:type="spellStart"/>
            <w:r>
              <w:rPr>
                <w:sz w:val="20"/>
                <w:lang w:val="en-US"/>
              </w:rPr>
              <w:t>нивото</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аерозагадување</w:t>
            </w:r>
            <w:proofErr w:type="spellEnd"/>
          </w:p>
        </w:tc>
        <w:tc>
          <w:tcPr>
            <w:tcW w:w="495" w:type="dxa"/>
            <w:shd w:val="clear" w:color="auto" w:fill="FFFFFF"/>
            <w:vAlign w:val="center"/>
          </w:tcPr>
          <w:p w14:paraId="5E15A5D4" w14:textId="77777777" w:rsidR="00A52A9A" w:rsidRDefault="00A52A9A" w:rsidP="00A86A0C">
            <w:pPr>
              <w:pStyle w:val="TableContents"/>
              <w:jc w:val="both"/>
            </w:pPr>
          </w:p>
        </w:tc>
        <w:tc>
          <w:tcPr>
            <w:tcW w:w="495" w:type="dxa"/>
            <w:shd w:val="clear" w:color="auto" w:fill="2E74B5"/>
            <w:vAlign w:val="center"/>
          </w:tcPr>
          <w:p w14:paraId="7F878D61" w14:textId="77777777" w:rsidR="00A52A9A" w:rsidRDefault="00A52A9A" w:rsidP="00A86A0C">
            <w:pPr>
              <w:pStyle w:val="TableContents"/>
              <w:jc w:val="both"/>
            </w:pPr>
          </w:p>
        </w:tc>
        <w:tc>
          <w:tcPr>
            <w:tcW w:w="491" w:type="dxa"/>
            <w:shd w:val="clear" w:color="auto" w:fill="FFFFFF"/>
            <w:vAlign w:val="center"/>
          </w:tcPr>
          <w:p w14:paraId="0E47C8E3" w14:textId="77777777" w:rsidR="00A52A9A" w:rsidRDefault="00A52A9A" w:rsidP="00A86A0C">
            <w:pPr>
              <w:pStyle w:val="TableContents"/>
              <w:jc w:val="both"/>
            </w:pPr>
          </w:p>
        </w:tc>
        <w:tc>
          <w:tcPr>
            <w:tcW w:w="492" w:type="dxa"/>
            <w:shd w:val="clear" w:color="auto" w:fill="FFFFFF"/>
            <w:vAlign w:val="center"/>
          </w:tcPr>
          <w:p w14:paraId="72F26FAC" w14:textId="77777777" w:rsidR="00A52A9A" w:rsidRDefault="00A52A9A" w:rsidP="00A86A0C">
            <w:pPr>
              <w:pStyle w:val="TableContents"/>
              <w:jc w:val="both"/>
            </w:pPr>
          </w:p>
        </w:tc>
        <w:tc>
          <w:tcPr>
            <w:tcW w:w="1326" w:type="dxa"/>
            <w:shd w:val="clear" w:color="auto" w:fill="FFFFFF"/>
            <w:vAlign w:val="center"/>
          </w:tcPr>
          <w:p w14:paraId="59B31710" w14:textId="77777777" w:rsidR="00A52A9A" w:rsidRDefault="00A52A9A" w:rsidP="00A86A0C">
            <w:pPr>
              <w:pStyle w:val="TableContents"/>
              <w:jc w:val="both"/>
            </w:pPr>
            <w:r>
              <w:rPr>
                <w:sz w:val="20"/>
                <w:lang w:val="en-US"/>
              </w:rPr>
              <w:t>30.09.2023</w:t>
            </w:r>
          </w:p>
        </w:tc>
      </w:tr>
    </w:tbl>
    <w:p w14:paraId="041A2DE4" w14:textId="77777777" w:rsidR="00A52A9A" w:rsidRDefault="00A52A9A" w:rsidP="00A52A9A">
      <w:pPr>
        <w:pStyle w:val="BodyText"/>
        <w:spacing w:after="0"/>
      </w:pPr>
    </w:p>
    <w:p w14:paraId="7B5F44F0" w14:textId="77777777" w:rsidR="00A52A9A" w:rsidRDefault="00A52A9A" w:rsidP="00A52A9A">
      <w:pPr>
        <w:pStyle w:val="BodyText"/>
        <w:spacing w:after="0"/>
      </w:pPr>
    </w:p>
    <w:p w14:paraId="10E4A579" w14:textId="77777777" w:rsidR="00A52A9A" w:rsidRDefault="00A52A9A" w:rsidP="00A52A9A">
      <w:pPr>
        <w:pStyle w:val="BodyText"/>
        <w:spacing w:after="0"/>
      </w:pPr>
    </w:p>
    <w:p w14:paraId="2EACD738" w14:textId="77777777" w:rsidR="00A52A9A" w:rsidRDefault="00A52A9A" w:rsidP="00A52A9A">
      <w:pPr>
        <w:pStyle w:val="BodyText"/>
        <w:spacing w:after="0"/>
        <w:jc w:val="both"/>
        <w:rPr>
          <w:b/>
          <w:bCs/>
          <w:sz w:val="22"/>
          <w:szCs w:val="22"/>
        </w:rPr>
      </w:pPr>
      <w:r w:rsidRPr="0023145E">
        <w:rPr>
          <w:b/>
          <w:bCs/>
          <w:sz w:val="22"/>
          <w:szCs w:val="22"/>
        </w:rPr>
        <w:t>Табела 2. Преглед  на напредокот и главните постигнати резултати за секој поединечен приоритет од Акцискиот план 20</w:t>
      </w:r>
      <w:r>
        <w:rPr>
          <w:b/>
          <w:bCs/>
          <w:sz w:val="22"/>
          <w:szCs w:val="22"/>
        </w:rPr>
        <w:t>21</w:t>
      </w:r>
      <w:r w:rsidRPr="0023145E">
        <w:rPr>
          <w:b/>
          <w:bCs/>
          <w:sz w:val="22"/>
          <w:szCs w:val="22"/>
        </w:rPr>
        <w:t>-20</w:t>
      </w:r>
      <w:r>
        <w:rPr>
          <w:b/>
          <w:bCs/>
          <w:sz w:val="22"/>
          <w:szCs w:val="22"/>
        </w:rPr>
        <w:t>23</w:t>
      </w:r>
      <w:r w:rsidRPr="0023145E">
        <w:rPr>
          <w:b/>
          <w:bCs/>
          <w:sz w:val="22"/>
          <w:szCs w:val="22"/>
        </w:rPr>
        <w:t xml:space="preserve"> година за кој е започната имплементацијата</w:t>
      </w:r>
    </w:p>
    <w:p w14:paraId="37C94507" w14:textId="77777777" w:rsidR="00A52A9A" w:rsidRPr="0023145E" w:rsidRDefault="00A52A9A" w:rsidP="00A52A9A">
      <w:pPr>
        <w:pStyle w:val="BodyText"/>
        <w:spacing w:after="0"/>
        <w:jc w:val="both"/>
        <w:rPr>
          <w:b/>
          <w:bCs/>
          <w:sz w:val="22"/>
          <w:szCs w:val="22"/>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040"/>
        <w:gridCol w:w="9"/>
        <w:gridCol w:w="1357"/>
        <w:gridCol w:w="9"/>
        <w:gridCol w:w="1359"/>
        <w:gridCol w:w="6"/>
        <w:gridCol w:w="1378"/>
        <w:gridCol w:w="1193"/>
      </w:tblGrid>
      <w:tr w:rsidR="00A52A9A" w14:paraId="5ED70130" w14:textId="77777777" w:rsidTr="00A86A0C">
        <w:tc>
          <w:tcPr>
            <w:tcW w:w="9345" w:type="dxa"/>
            <w:gridSpan w:val="8"/>
            <w:tcBorders>
              <w:top w:val="single" w:sz="8" w:space="0" w:color="000001"/>
              <w:left w:val="single" w:sz="8" w:space="0" w:color="000001"/>
              <w:bottom w:val="single" w:sz="8" w:space="0" w:color="000001"/>
              <w:right w:val="single" w:sz="8" w:space="0" w:color="000001"/>
            </w:tcBorders>
            <w:shd w:val="clear" w:color="auto" w:fill="1F4E79"/>
          </w:tcPr>
          <w:p w14:paraId="3F69F489" w14:textId="77777777" w:rsidR="00A52A9A" w:rsidRDefault="00A52A9A" w:rsidP="00A86A0C">
            <w:pPr>
              <w:pStyle w:val="TableContents"/>
              <w:jc w:val="center"/>
            </w:pPr>
            <w:r>
              <w:rPr>
                <w:b/>
                <w:color w:val="FFFFFF"/>
                <w:sz w:val="22"/>
              </w:rPr>
              <w:t xml:space="preserve">Транспарентност, отчетност, </w:t>
            </w:r>
            <w:proofErr w:type="spellStart"/>
            <w:r>
              <w:rPr>
                <w:b/>
                <w:color w:val="FFFFFF"/>
                <w:sz w:val="22"/>
              </w:rPr>
              <w:t>проактивност</w:t>
            </w:r>
            <w:proofErr w:type="spellEnd"/>
            <w:r>
              <w:rPr>
                <w:b/>
                <w:color w:val="FFFFFF"/>
                <w:sz w:val="22"/>
              </w:rPr>
              <w:t xml:space="preserve"> и инклузивност</w:t>
            </w:r>
          </w:p>
        </w:tc>
      </w:tr>
      <w:tr w:rsidR="00A52A9A" w14:paraId="5CF5B8CF"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79556AF9" w14:textId="77777777" w:rsidR="00A52A9A" w:rsidRDefault="00A52A9A" w:rsidP="00A86A0C">
            <w:pPr>
              <w:pStyle w:val="TableContents"/>
              <w:jc w:val="center"/>
            </w:pPr>
            <w:r>
              <w:rPr>
                <w:b/>
                <w:sz w:val="20"/>
              </w:rPr>
              <w:t>1.1 Јавно објавување на вистинските сопственици на фирмите што склучиле договори за јавни набавки</w:t>
            </w:r>
          </w:p>
        </w:tc>
      </w:tr>
      <w:tr w:rsidR="00A52A9A" w14:paraId="2B95C408"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59BFBBD5"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01.10.2021-31.08.2023</w:t>
            </w:r>
          </w:p>
        </w:tc>
      </w:tr>
      <w:tr w:rsidR="00A52A9A" w14:paraId="06F39B7B"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FFFFFF"/>
          </w:tcPr>
          <w:p w14:paraId="2B8E1EBB"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DEEAF6"/>
          </w:tcPr>
          <w:p w14:paraId="063DABC7" w14:textId="77777777" w:rsidR="00A52A9A" w:rsidRPr="007D0DCE" w:rsidRDefault="00A52A9A" w:rsidP="00A86A0C">
            <w:pPr>
              <w:pStyle w:val="TableContents"/>
              <w:jc w:val="center"/>
              <w:rPr>
                <w:sz w:val="20"/>
                <w:szCs w:val="20"/>
              </w:rPr>
            </w:pPr>
            <w:r w:rsidRPr="007D0DCE">
              <w:rPr>
                <w:sz w:val="20"/>
                <w:szCs w:val="20"/>
              </w:rPr>
              <w:t>Централен регистар на Република Северна Македонија</w:t>
            </w:r>
          </w:p>
        </w:tc>
      </w:tr>
      <w:tr w:rsidR="00A52A9A" w14:paraId="2FADBA1A" w14:textId="77777777" w:rsidTr="00A86A0C">
        <w:tblPrEx>
          <w:tblCellMar>
            <w:left w:w="115" w:type="dxa"/>
            <w:right w:w="115" w:type="dxa"/>
          </w:tblCellMar>
        </w:tblPrEx>
        <w:tc>
          <w:tcPr>
            <w:tcW w:w="4039" w:type="dxa"/>
            <w:vMerge w:val="restart"/>
            <w:tcBorders>
              <w:top w:val="single" w:sz="8" w:space="0" w:color="000001"/>
              <w:left w:val="single" w:sz="8" w:space="0" w:color="000001"/>
              <w:right w:val="single" w:sz="8" w:space="0" w:color="000001"/>
            </w:tcBorders>
            <w:shd w:val="clear" w:color="auto" w:fill="FFFFFF"/>
            <w:vAlign w:val="center"/>
          </w:tcPr>
          <w:p w14:paraId="4AA07B46" w14:textId="77777777" w:rsidR="00A52A9A" w:rsidRDefault="00A52A9A" w:rsidP="00A86A0C">
            <w:pPr>
              <w:pStyle w:val="TableContents"/>
              <w:spacing w:after="0"/>
              <w:jc w:val="center"/>
            </w:pPr>
            <w:r>
              <w:rPr>
                <w:b/>
                <w:sz w:val="20"/>
              </w:rPr>
              <w:t>Статус на реализација на заложбата</w:t>
            </w:r>
          </w:p>
          <w:p w14:paraId="09A6121C"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4311824E"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7"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1C0C4C7" w14:textId="77777777" w:rsidR="00A52A9A" w:rsidRDefault="00A52A9A" w:rsidP="00A86A0C">
            <w:pPr>
              <w:pStyle w:val="TableContents"/>
              <w:jc w:val="center"/>
            </w:pPr>
            <w:r>
              <w:rPr>
                <w:b/>
                <w:color w:val="000000"/>
                <w:sz w:val="18"/>
              </w:rPr>
              <w:t>ограничено</w:t>
            </w:r>
          </w:p>
        </w:tc>
        <w:tc>
          <w:tcPr>
            <w:tcW w:w="1381"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2B49C2FD" w14:textId="77777777" w:rsidR="00A52A9A" w:rsidRDefault="00A52A9A" w:rsidP="00A86A0C">
            <w:pPr>
              <w:pStyle w:val="TableContents"/>
              <w:jc w:val="center"/>
            </w:pPr>
            <w:r>
              <w:rPr>
                <w:b/>
                <w:color w:val="000000"/>
                <w:sz w:val="18"/>
              </w:rPr>
              <w:t>значително</w:t>
            </w: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7CA1C55" w14:textId="77777777" w:rsidR="00A52A9A" w:rsidRDefault="00A52A9A" w:rsidP="00A86A0C">
            <w:pPr>
              <w:pStyle w:val="TableContents"/>
              <w:jc w:val="center"/>
            </w:pPr>
            <w:r>
              <w:rPr>
                <w:b/>
                <w:color w:val="000000"/>
                <w:sz w:val="18"/>
              </w:rPr>
              <w:t>завршено</w:t>
            </w:r>
          </w:p>
        </w:tc>
      </w:tr>
      <w:tr w:rsidR="00A52A9A" w14:paraId="01463A88" w14:textId="77777777" w:rsidTr="00A86A0C">
        <w:tblPrEx>
          <w:tblCellMar>
            <w:left w:w="115" w:type="dxa"/>
            <w:right w:w="115" w:type="dxa"/>
          </w:tblCellMar>
        </w:tblPrEx>
        <w:tc>
          <w:tcPr>
            <w:tcW w:w="4039" w:type="dxa"/>
            <w:vMerge/>
            <w:tcBorders>
              <w:top w:val="single" w:sz="8" w:space="0" w:color="000001"/>
              <w:left w:val="single" w:sz="8" w:space="0" w:color="000001"/>
              <w:right w:val="single" w:sz="8" w:space="0" w:color="000001"/>
            </w:tcBorders>
            <w:shd w:val="clear" w:color="auto" w:fill="FFFFFF"/>
            <w:vAlign w:val="center"/>
          </w:tcPr>
          <w:p w14:paraId="36C94D64"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63AAB5EA" w14:textId="77777777" w:rsidR="00A52A9A" w:rsidRDefault="00A52A9A" w:rsidP="00A86A0C">
            <w:pPr>
              <w:pStyle w:val="TableContents"/>
              <w:jc w:val="both"/>
            </w:pPr>
          </w:p>
        </w:tc>
        <w:tc>
          <w:tcPr>
            <w:tcW w:w="1367"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2711C1E1" w14:textId="77777777" w:rsidR="00A52A9A" w:rsidRDefault="00A52A9A" w:rsidP="00A86A0C">
            <w:pPr>
              <w:pStyle w:val="TableContents"/>
              <w:jc w:val="both"/>
            </w:pPr>
          </w:p>
        </w:tc>
        <w:tc>
          <w:tcPr>
            <w:tcW w:w="1381"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6F478F7B" w14:textId="77777777" w:rsidR="00A52A9A" w:rsidRDefault="00A52A9A" w:rsidP="00A86A0C">
            <w:pPr>
              <w:pStyle w:val="TableContents"/>
              <w:jc w:val="both"/>
            </w:pP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7584B1C" w14:textId="77777777" w:rsidR="00A52A9A" w:rsidRDefault="00A52A9A" w:rsidP="00A86A0C">
            <w:pPr>
              <w:pStyle w:val="TableContents"/>
              <w:jc w:val="both"/>
            </w:pPr>
          </w:p>
        </w:tc>
      </w:tr>
      <w:tr w:rsidR="00A52A9A" w14:paraId="690B29A9"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BDD6EE"/>
          </w:tcPr>
          <w:p w14:paraId="7E402036" w14:textId="77777777" w:rsidR="00A52A9A" w:rsidRDefault="00A52A9A" w:rsidP="00A86A0C">
            <w:pPr>
              <w:pStyle w:val="TableContents"/>
              <w:jc w:val="center"/>
            </w:pPr>
            <w:r>
              <w:rPr>
                <w:b/>
                <w:sz w:val="20"/>
              </w:rPr>
              <w:lastRenderedPageBreak/>
              <w:t>Достигнувања</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BDD6EE"/>
          </w:tcPr>
          <w:p w14:paraId="7D20A948"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44DB0B62"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6C4A37FF" w14:textId="77777777" w:rsidR="00A52A9A" w:rsidRDefault="00A52A9A" w:rsidP="00A86A0C">
            <w:pPr>
              <w:pStyle w:val="TableContents"/>
              <w:spacing w:after="0"/>
              <w:jc w:val="both"/>
            </w:pPr>
            <w:r>
              <w:rPr>
                <w:b/>
                <w:sz w:val="20"/>
              </w:rPr>
              <w:t>1.1.1 Договорен е критериумот за објавување на вистинските сопственици за договорите за јавни набавки, за начинот на спроведување на заложбата и за потребните законски и технички предуслови за тоа</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76531849" w14:textId="77777777" w:rsidR="00A52A9A" w:rsidRPr="008B6467" w:rsidRDefault="00A52A9A" w:rsidP="00A86A0C">
            <w:pPr>
              <w:pStyle w:val="TableContents"/>
              <w:jc w:val="both"/>
              <w:rPr>
                <w:sz w:val="20"/>
                <w:szCs w:val="20"/>
              </w:rPr>
            </w:pPr>
            <w:r w:rsidRPr="008B6467">
              <w:rPr>
                <w:sz w:val="20"/>
                <w:szCs w:val="20"/>
              </w:rPr>
              <w:t>Постигнат договор за критериумот (вредносен праг) за кои договори ќе се објавуваат вистинските сопственици за договорите за јавни набавки. Ќе се објавуваат податоци за секој договор без разлика на вредноста.</w:t>
            </w:r>
          </w:p>
          <w:p w14:paraId="6CD7A306" w14:textId="77777777" w:rsidR="00A52A9A" w:rsidRPr="008B6467" w:rsidRDefault="00A52A9A" w:rsidP="00A86A0C">
            <w:pPr>
              <w:pStyle w:val="TableContents"/>
              <w:jc w:val="both"/>
              <w:rPr>
                <w:sz w:val="20"/>
                <w:szCs w:val="20"/>
              </w:rPr>
            </w:pPr>
            <w:r w:rsidRPr="008B6467">
              <w:rPr>
                <w:sz w:val="20"/>
                <w:szCs w:val="20"/>
              </w:rPr>
              <w:t>Постигнат договор за конкретното техничко решение за автоматско преземање на податоците за вистинските сопственици од Централниот регистар на ЕСЈН (делумно). Утврдени се техничките предуслови, односно утврден е начинот на објавување, конкретната веб локација на ЕСЈН, како и начинот размена (преку веб сервис) на податоците меѓу ЦР и БЈН. Техничкото решение (надградбите на ЕСЈН и системи во ЦР) ќе се конкретизираат, паралелно со утврдување на законските предуслови.</w:t>
            </w:r>
          </w:p>
          <w:p w14:paraId="27961CC9" w14:textId="77777777" w:rsidR="00A52A9A" w:rsidRPr="008B6467" w:rsidRDefault="00A52A9A" w:rsidP="00A86A0C">
            <w:pPr>
              <w:pStyle w:val="TableContents"/>
              <w:jc w:val="both"/>
              <w:rPr>
                <w:sz w:val="20"/>
                <w:szCs w:val="20"/>
              </w:rPr>
            </w:pPr>
            <w:r w:rsidRPr="008B6467">
              <w:rPr>
                <w:sz w:val="20"/>
                <w:szCs w:val="20"/>
              </w:rPr>
              <w:t>Во процес е верификација на алтернативно решение со Агенцијата за заштита на лични податоци, бидејќи во постојната законска регулатива нема законски основ за објавување на податоците.</w:t>
            </w:r>
          </w:p>
        </w:tc>
      </w:tr>
      <w:tr w:rsidR="00A52A9A" w14:paraId="5EF3E0D9"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22508991" w14:textId="77777777" w:rsidR="00A52A9A" w:rsidRDefault="00A52A9A" w:rsidP="00A86A0C">
            <w:pPr>
              <w:pStyle w:val="TableContents"/>
              <w:spacing w:after="0"/>
              <w:jc w:val="both"/>
              <w:rPr>
                <w:b/>
                <w:sz w:val="20"/>
              </w:rPr>
            </w:pPr>
            <w:r>
              <w:rPr>
                <w:b/>
                <w:sz w:val="20"/>
              </w:rPr>
              <w:t xml:space="preserve">1.1.2 Објавени се имињата на вистинските сопственици на субјектите кои се носители на договорите за јавни набавки </w:t>
            </w:r>
          </w:p>
          <w:p w14:paraId="06BA46C9" w14:textId="77777777" w:rsidR="00A52A9A" w:rsidRDefault="00A52A9A" w:rsidP="00A86A0C">
            <w:pPr>
              <w:pStyle w:val="TableContents"/>
              <w:spacing w:after="0"/>
              <w:jc w:val="both"/>
            </w:pP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333A4EF5" w14:textId="77777777" w:rsidR="00A52A9A" w:rsidRDefault="00A52A9A" w:rsidP="00A86A0C">
            <w:pPr>
              <w:pStyle w:val="TableContents"/>
              <w:jc w:val="both"/>
            </w:pPr>
          </w:p>
        </w:tc>
      </w:tr>
      <w:tr w:rsidR="00A52A9A" w14:paraId="71E92D36"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4D05C87C" w14:textId="77777777" w:rsidR="00A52A9A" w:rsidRDefault="00A52A9A" w:rsidP="00A86A0C">
            <w:pPr>
              <w:pStyle w:val="TableContents"/>
              <w:jc w:val="center"/>
            </w:pPr>
            <w:r>
              <w:rPr>
                <w:b/>
                <w:sz w:val="20"/>
              </w:rPr>
              <w:t>1.2 Проактивно објавување на информациите од јавен карактер на веб-страниците на институциите</w:t>
            </w:r>
          </w:p>
        </w:tc>
      </w:tr>
      <w:tr w:rsidR="00A52A9A" w14:paraId="3C115F86"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19786D9A"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01.10.2021-31.08.2023</w:t>
            </w:r>
          </w:p>
        </w:tc>
      </w:tr>
      <w:tr w:rsidR="00A52A9A" w14:paraId="7748BB46"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FFFFFF"/>
          </w:tcPr>
          <w:p w14:paraId="018A6276"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DEEAF6"/>
          </w:tcPr>
          <w:p w14:paraId="34F006FC" w14:textId="77777777" w:rsidR="00A52A9A" w:rsidRPr="007D0DCE" w:rsidRDefault="00A52A9A" w:rsidP="00A86A0C">
            <w:pPr>
              <w:pStyle w:val="TableContents"/>
              <w:jc w:val="center"/>
              <w:rPr>
                <w:sz w:val="20"/>
                <w:szCs w:val="20"/>
              </w:rPr>
            </w:pPr>
            <w:r w:rsidRPr="007D0DCE">
              <w:rPr>
                <w:sz w:val="20"/>
                <w:szCs w:val="20"/>
              </w:rPr>
              <w:t>Агенција за заштита на правото на слободен пристап до информациите од јавен карактер</w:t>
            </w:r>
          </w:p>
        </w:tc>
      </w:tr>
      <w:tr w:rsidR="00A52A9A" w14:paraId="558CD6A1" w14:textId="77777777" w:rsidTr="00A86A0C">
        <w:tblPrEx>
          <w:tblCellMar>
            <w:left w:w="115" w:type="dxa"/>
            <w:right w:w="115" w:type="dxa"/>
          </w:tblCellMar>
        </w:tblPrEx>
        <w:tc>
          <w:tcPr>
            <w:tcW w:w="4039" w:type="dxa"/>
            <w:vMerge w:val="restart"/>
            <w:tcBorders>
              <w:top w:val="single" w:sz="8" w:space="0" w:color="000001"/>
              <w:left w:val="single" w:sz="8" w:space="0" w:color="000001"/>
              <w:right w:val="single" w:sz="8" w:space="0" w:color="000001"/>
            </w:tcBorders>
            <w:shd w:val="clear" w:color="auto" w:fill="FFFFFF"/>
            <w:vAlign w:val="center"/>
          </w:tcPr>
          <w:p w14:paraId="3C456DF2" w14:textId="77777777" w:rsidR="00A52A9A" w:rsidRDefault="00A52A9A" w:rsidP="00A86A0C">
            <w:pPr>
              <w:pStyle w:val="TableContents"/>
              <w:spacing w:after="0"/>
              <w:jc w:val="center"/>
            </w:pPr>
            <w:r>
              <w:rPr>
                <w:b/>
                <w:sz w:val="20"/>
              </w:rPr>
              <w:t>Статус на реализација на заложбата</w:t>
            </w:r>
          </w:p>
          <w:p w14:paraId="4E97A25F"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2A3CFEF7"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7"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10E0527" w14:textId="77777777" w:rsidR="00A52A9A" w:rsidRDefault="00A52A9A" w:rsidP="00A86A0C">
            <w:pPr>
              <w:pStyle w:val="TableContents"/>
              <w:jc w:val="center"/>
            </w:pPr>
            <w:r>
              <w:rPr>
                <w:b/>
                <w:color w:val="000000"/>
                <w:sz w:val="18"/>
              </w:rPr>
              <w:t>ограничено</w:t>
            </w:r>
          </w:p>
        </w:tc>
        <w:tc>
          <w:tcPr>
            <w:tcW w:w="1381"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1E85E38" w14:textId="77777777" w:rsidR="00A52A9A" w:rsidRDefault="00A52A9A" w:rsidP="00A86A0C">
            <w:pPr>
              <w:pStyle w:val="TableContents"/>
              <w:jc w:val="center"/>
            </w:pPr>
            <w:r>
              <w:rPr>
                <w:b/>
                <w:color w:val="000000"/>
                <w:sz w:val="18"/>
              </w:rPr>
              <w:t>значително</w:t>
            </w: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1A7354E7" w14:textId="77777777" w:rsidR="00A52A9A" w:rsidRDefault="00A52A9A" w:rsidP="00A86A0C">
            <w:pPr>
              <w:pStyle w:val="TableContents"/>
              <w:jc w:val="center"/>
            </w:pPr>
            <w:r>
              <w:rPr>
                <w:b/>
                <w:color w:val="000000"/>
                <w:sz w:val="18"/>
              </w:rPr>
              <w:t>завршено</w:t>
            </w:r>
          </w:p>
        </w:tc>
      </w:tr>
      <w:tr w:rsidR="00A52A9A" w14:paraId="3F95BD58" w14:textId="77777777" w:rsidTr="00A86A0C">
        <w:tblPrEx>
          <w:tblCellMar>
            <w:left w:w="115" w:type="dxa"/>
            <w:right w:w="115" w:type="dxa"/>
          </w:tblCellMar>
        </w:tblPrEx>
        <w:tc>
          <w:tcPr>
            <w:tcW w:w="4039" w:type="dxa"/>
            <w:vMerge/>
            <w:tcBorders>
              <w:top w:val="single" w:sz="8" w:space="0" w:color="000001"/>
              <w:left w:val="single" w:sz="8" w:space="0" w:color="000001"/>
              <w:right w:val="single" w:sz="8" w:space="0" w:color="000001"/>
            </w:tcBorders>
            <w:shd w:val="clear" w:color="auto" w:fill="FFFFFF"/>
            <w:vAlign w:val="center"/>
          </w:tcPr>
          <w:p w14:paraId="1712C33B"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45D87D68" w14:textId="77777777" w:rsidR="00A52A9A" w:rsidRDefault="00A52A9A" w:rsidP="00A86A0C">
            <w:pPr>
              <w:pStyle w:val="TableContents"/>
              <w:jc w:val="both"/>
            </w:pPr>
          </w:p>
        </w:tc>
        <w:tc>
          <w:tcPr>
            <w:tcW w:w="1367"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D4FE9DB" w14:textId="77777777" w:rsidR="00A52A9A" w:rsidRDefault="00A52A9A" w:rsidP="00A86A0C">
            <w:pPr>
              <w:pStyle w:val="TableContents"/>
              <w:jc w:val="both"/>
            </w:pPr>
          </w:p>
        </w:tc>
        <w:tc>
          <w:tcPr>
            <w:tcW w:w="1381"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1DCB3FB1" w14:textId="77777777" w:rsidR="00A52A9A" w:rsidRDefault="00A52A9A" w:rsidP="00A86A0C">
            <w:pPr>
              <w:pStyle w:val="TableContents"/>
              <w:jc w:val="both"/>
            </w:pP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19572792" w14:textId="77777777" w:rsidR="00A52A9A" w:rsidRDefault="00A52A9A" w:rsidP="00A86A0C">
            <w:pPr>
              <w:pStyle w:val="TableContents"/>
              <w:jc w:val="both"/>
            </w:pPr>
          </w:p>
        </w:tc>
      </w:tr>
      <w:tr w:rsidR="00A52A9A" w14:paraId="3BE0034C"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BDD6EE"/>
          </w:tcPr>
          <w:p w14:paraId="6E8DA05F" w14:textId="77777777" w:rsidR="00A52A9A" w:rsidRDefault="00A52A9A" w:rsidP="00A86A0C">
            <w:pPr>
              <w:pStyle w:val="TableContents"/>
              <w:jc w:val="center"/>
            </w:pPr>
            <w:r>
              <w:rPr>
                <w:b/>
                <w:sz w:val="20"/>
              </w:rPr>
              <w:t>Достигнувања</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BDD6EE"/>
          </w:tcPr>
          <w:p w14:paraId="4A4E60AF"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132D8E4E"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1BEB5FC4" w14:textId="77777777" w:rsidR="00A52A9A" w:rsidRDefault="00A52A9A" w:rsidP="00A86A0C">
            <w:pPr>
              <w:pStyle w:val="TableContents"/>
              <w:spacing w:after="0"/>
              <w:jc w:val="both"/>
            </w:pPr>
            <w:r>
              <w:rPr>
                <w:b/>
                <w:sz w:val="20"/>
              </w:rPr>
              <w:lastRenderedPageBreak/>
              <w:t xml:space="preserve">1.2.1 Воведена обврска за секоја институција – имател на информации, задолжително да информира во својот годишен извештај што го доставува до АСПИ и за спроведување на членот 10 од Законот за слободен пристап кој предвидува обврска за имателите да ги објавуваат сите информации од своето работење на своите веб-страници. </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2FC59DEC" w14:textId="77777777" w:rsidR="00A52A9A" w:rsidRPr="008B6467" w:rsidRDefault="00A52A9A" w:rsidP="00A86A0C">
            <w:pPr>
              <w:pStyle w:val="TableContents"/>
              <w:jc w:val="both"/>
              <w:rPr>
                <w:sz w:val="20"/>
                <w:szCs w:val="20"/>
              </w:rPr>
            </w:pPr>
            <w:r w:rsidRPr="008B6467">
              <w:rPr>
                <w:sz w:val="20"/>
                <w:szCs w:val="20"/>
              </w:rPr>
              <w:t xml:space="preserve">Од вкупно </w:t>
            </w:r>
            <w:r w:rsidRPr="008B6467">
              <w:rPr>
                <w:rStyle w:val="Strong"/>
                <w:sz w:val="20"/>
                <w:szCs w:val="20"/>
              </w:rPr>
              <w:t>1445</w:t>
            </w:r>
            <w:r w:rsidRPr="008B6467">
              <w:rPr>
                <w:sz w:val="20"/>
                <w:szCs w:val="20"/>
              </w:rPr>
              <w:t xml:space="preserve"> иматели регистрирани иматели на информации од јавен карактер до кои беше доставен образец за Годишен извештај за 2021 година, во кој имателите требаа да ги достават линковите согласно членот 10, односно 22-те категории, </w:t>
            </w:r>
            <w:r w:rsidRPr="008B6467">
              <w:rPr>
                <w:rStyle w:val="Strong"/>
                <w:sz w:val="20"/>
                <w:szCs w:val="20"/>
              </w:rPr>
              <w:t>322</w:t>
            </w:r>
            <w:r w:rsidRPr="008B6467">
              <w:rPr>
                <w:sz w:val="20"/>
                <w:szCs w:val="20"/>
              </w:rPr>
              <w:t xml:space="preserve"> или </w:t>
            </w:r>
            <w:r w:rsidRPr="008B6467">
              <w:rPr>
                <w:rStyle w:val="Strong"/>
                <w:sz w:val="20"/>
                <w:szCs w:val="20"/>
              </w:rPr>
              <w:t>22,28%</w:t>
            </w:r>
            <w:r w:rsidRPr="008B6467">
              <w:rPr>
                <w:sz w:val="20"/>
                <w:szCs w:val="20"/>
              </w:rPr>
              <w:t xml:space="preserve"> од имателите ја исполнуваат својата проактивна транспарентност, </w:t>
            </w:r>
            <w:r w:rsidRPr="008B6467">
              <w:rPr>
                <w:rStyle w:val="Strong"/>
                <w:sz w:val="20"/>
                <w:szCs w:val="20"/>
              </w:rPr>
              <w:t>934</w:t>
            </w:r>
            <w:r w:rsidRPr="008B6467">
              <w:rPr>
                <w:sz w:val="20"/>
                <w:szCs w:val="20"/>
              </w:rPr>
              <w:t xml:space="preserve"> или </w:t>
            </w:r>
            <w:r w:rsidRPr="008B6467">
              <w:rPr>
                <w:rStyle w:val="Strong"/>
                <w:sz w:val="20"/>
                <w:szCs w:val="20"/>
              </w:rPr>
              <w:t>64,63%</w:t>
            </w:r>
            <w:r w:rsidRPr="008B6467">
              <w:rPr>
                <w:sz w:val="20"/>
                <w:szCs w:val="20"/>
              </w:rPr>
              <w:t xml:space="preserve"> не се активно транспарентни, додека </w:t>
            </w:r>
            <w:r w:rsidRPr="008B6467">
              <w:rPr>
                <w:rStyle w:val="Strong"/>
                <w:sz w:val="20"/>
                <w:szCs w:val="20"/>
              </w:rPr>
              <w:t>78</w:t>
            </w:r>
            <w:r w:rsidRPr="008B6467">
              <w:rPr>
                <w:sz w:val="20"/>
                <w:szCs w:val="20"/>
              </w:rPr>
              <w:t xml:space="preserve"> или </w:t>
            </w:r>
            <w:r w:rsidRPr="008B6467">
              <w:rPr>
                <w:rStyle w:val="Strong"/>
                <w:sz w:val="20"/>
                <w:szCs w:val="20"/>
              </w:rPr>
              <w:t>5,39 %</w:t>
            </w:r>
            <w:r w:rsidRPr="008B6467">
              <w:rPr>
                <w:sz w:val="20"/>
                <w:szCs w:val="20"/>
              </w:rPr>
              <w:t xml:space="preserve"> се делумно транспарентни</w:t>
            </w:r>
          </w:p>
          <w:p w14:paraId="4B4837A8" w14:textId="77777777" w:rsidR="00A52A9A" w:rsidRDefault="00A52A9A" w:rsidP="00A86A0C">
            <w:pPr>
              <w:pStyle w:val="TableContents"/>
              <w:jc w:val="both"/>
              <w:rPr>
                <w:sz w:val="20"/>
                <w:szCs w:val="20"/>
              </w:rPr>
            </w:pPr>
            <w:r w:rsidRPr="008B6467">
              <w:rPr>
                <w:sz w:val="20"/>
                <w:szCs w:val="20"/>
              </w:rPr>
              <w:t xml:space="preserve">Годишен извештај до Агенцијата доставија </w:t>
            </w:r>
            <w:r w:rsidRPr="008B6467">
              <w:rPr>
                <w:rStyle w:val="Strong"/>
                <w:sz w:val="20"/>
                <w:szCs w:val="20"/>
              </w:rPr>
              <w:t xml:space="preserve">1334, </w:t>
            </w:r>
            <w:r w:rsidRPr="008B6467">
              <w:rPr>
                <w:sz w:val="20"/>
                <w:szCs w:val="20"/>
              </w:rPr>
              <w:t>односно</w:t>
            </w:r>
            <w:r w:rsidRPr="008B6467">
              <w:rPr>
                <w:rStyle w:val="Strong"/>
                <w:sz w:val="20"/>
                <w:szCs w:val="20"/>
              </w:rPr>
              <w:t xml:space="preserve"> 92,32% </w:t>
            </w:r>
            <w:r w:rsidRPr="008B6467">
              <w:rPr>
                <w:sz w:val="20"/>
                <w:szCs w:val="20"/>
              </w:rPr>
              <w:t xml:space="preserve">иматели, а </w:t>
            </w:r>
            <w:r w:rsidRPr="008B6467">
              <w:rPr>
                <w:rStyle w:val="Strong"/>
                <w:sz w:val="20"/>
                <w:szCs w:val="20"/>
              </w:rPr>
              <w:t>111</w:t>
            </w:r>
            <w:r w:rsidRPr="008B6467">
              <w:rPr>
                <w:sz w:val="20"/>
                <w:szCs w:val="20"/>
              </w:rPr>
              <w:t xml:space="preserve"> или </w:t>
            </w:r>
            <w:r w:rsidRPr="008B6467">
              <w:rPr>
                <w:rStyle w:val="Strong"/>
                <w:sz w:val="20"/>
                <w:szCs w:val="20"/>
              </w:rPr>
              <w:t>7,68%</w:t>
            </w:r>
            <w:r w:rsidRPr="008B6467">
              <w:rPr>
                <w:sz w:val="20"/>
                <w:szCs w:val="20"/>
              </w:rPr>
              <w:t xml:space="preserve"> не ја исполнија законската обврска.</w:t>
            </w:r>
          </w:p>
          <w:p w14:paraId="2C8C0877" w14:textId="77777777" w:rsidR="00A52A9A" w:rsidRPr="008B6467" w:rsidRDefault="00A52A9A" w:rsidP="00A86A0C">
            <w:pPr>
              <w:pStyle w:val="TableContents"/>
              <w:jc w:val="both"/>
              <w:rPr>
                <w:sz w:val="20"/>
                <w:szCs w:val="20"/>
              </w:rPr>
            </w:pPr>
          </w:p>
        </w:tc>
      </w:tr>
      <w:tr w:rsidR="00A52A9A" w14:paraId="26F4A981"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55B90E57" w14:textId="77777777" w:rsidR="00A52A9A" w:rsidRDefault="00A52A9A" w:rsidP="00A86A0C">
            <w:pPr>
              <w:pStyle w:val="TableContents"/>
              <w:spacing w:after="0"/>
              <w:jc w:val="both"/>
            </w:pPr>
            <w:r>
              <w:rPr>
                <w:b/>
                <w:sz w:val="20"/>
              </w:rPr>
              <w:t xml:space="preserve">1.2.2 Воведена обврска за АСПИ за објавување збирна информација во својот годишен извештај и за спроведувањето на членот 10 од Законот за слободен пристап, а врз основа на добиените извештаи од имателите на информации. </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37680ECD" w14:textId="77777777" w:rsidR="00A52A9A" w:rsidRPr="008B6467" w:rsidRDefault="00A52A9A" w:rsidP="00A86A0C">
            <w:pPr>
              <w:pStyle w:val="TableContents"/>
              <w:jc w:val="both"/>
              <w:rPr>
                <w:sz w:val="20"/>
                <w:szCs w:val="20"/>
              </w:rPr>
            </w:pPr>
            <w:r w:rsidRPr="008B6467">
              <w:rPr>
                <w:sz w:val="20"/>
                <w:szCs w:val="20"/>
              </w:rPr>
              <w:t xml:space="preserve">Од страна на државните институции, обврската ја исполнија </w:t>
            </w:r>
            <w:r w:rsidRPr="008B6467">
              <w:rPr>
                <w:rStyle w:val="Strong"/>
                <w:sz w:val="20"/>
                <w:szCs w:val="20"/>
              </w:rPr>
              <w:t xml:space="preserve">91 </w:t>
            </w:r>
            <w:r w:rsidRPr="008B6467">
              <w:rPr>
                <w:sz w:val="20"/>
                <w:szCs w:val="20"/>
              </w:rPr>
              <w:t xml:space="preserve">имател, </w:t>
            </w:r>
            <w:r w:rsidRPr="008B6467">
              <w:rPr>
                <w:rStyle w:val="Strong"/>
                <w:sz w:val="20"/>
                <w:szCs w:val="20"/>
              </w:rPr>
              <w:t xml:space="preserve">44 </w:t>
            </w:r>
            <w:r w:rsidRPr="008B6467">
              <w:rPr>
                <w:sz w:val="20"/>
                <w:szCs w:val="20"/>
              </w:rPr>
              <w:t>не</w:t>
            </w:r>
            <w:r>
              <w:rPr>
                <w:sz w:val="20"/>
                <w:szCs w:val="20"/>
              </w:rPr>
              <w:t xml:space="preserve"> </w:t>
            </w:r>
            <w:r w:rsidRPr="008B6467">
              <w:rPr>
                <w:sz w:val="20"/>
                <w:szCs w:val="20"/>
              </w:rPr>
              <w:t xml:space="preserve">доставија известување за нивната </w:t>
            </w:r>
            <w:proofErr w:type="spellStart"/>
            <w:r w:rsidRPr="008B6467">
              <w:rPr>
                <w:sz w:val="20"/>
                <w:szCs w:val="20"/>
              </w:rPr>
              <w:t>проактивност</w:t>
            </w:r>
            <w:proofErr w:type="spellEnd"/>
            <w:r w:rsidRPr="008B6467">
              <w:rPr>
                <w:sz w:val="20"/>
                <w:szCs w:val="20"/>
              </w:rPr>
              <w:t xml:space="preserve">, </w:t>
            </w:r>
            <w:r w:rsidRPr="008B6467">
              <w:rPr>
                <w:rStyle w:val="Strong"/>
                <w:sz w:val="20"/>
                <w:szCs w:val="20"/>
              </w:rPr>
              <w:t xml:space="preserve">5 </w:t>
            </w:r>
            <w:r w:rsidRPr="008B6467">
              <w:rPr>
                <w:sz w:val="20"/>
                <w:szCs w:val="20"/>
              </w:rPr>
              <w:t xml:space="preserve">делумно се транспарентни, додека за </w:t>
            </w:r>
            <w:r w:rsidRPr="008B6467">
              <w:rPr>
                <w:rStyle w:val="Strong"/>
                <w:sz w:val="20"/>
                <w:szCs w:val="20"/>
              </w:rPr>
              <w:t>6</w:t>
            </w:r>
            <w:r w:rsidRPr="008B6467">
              <w:rPr>
                <w:sz w:val="20"/>
                <w:szCs w:val="20"/>
              </w:rPr>
              <w:t xml:space="preserve"> иматели нема податок од причини што имателите не доставија извештај за нивната имплементација на законската обврска.</w:t>
            </w:r>
          </w:p>
          <w:p w14:paraId="2E0C973B" w14:textId="77777777" w:rsidR="00A52A9A" w:rsidRPr="008B6467" w:rsidRDefault="00A52A9A" w:rsidP="00A86A0C">
            <w:pPr>
              <w:pStyle w:val="TableContents"/>
              <w:jc w:val="both"/>
              <w:rPr>
                <w:sz w:val="20"/>
                <w:szCs w:val="20"/>
              </w:rPr>
            </w:pPr>
            <w:r w:rsidRPr="008B6467">
              <w:rPr>
                <w:sz w:val="20"/>
                <w:szCs w:val="20"/>
              </w:rPr>
              <w:t xml:space="preserve">Од здравствените институции </w:t>
            </w:r>
            <w:r w:rsidRPr="008B6467">
              <w:rPr>
                <w:rStyle w:val="Strong"/>
                <w:sz w:val="20"/>
                <w:szCs w:val="20"/>
              </w:rPr>
              <w:t xml:space="preserve">5 </w:t>
            </w:r>
            <w:r w:rsidRPr="008B6467">
              <w:rPr>
                <w:sz w:val="20"/>
                <w:szCs w:val="20"/>
              </w:rPr>
              <w:t xml:space="preserve">иматели доставија извештај за оваа обврска, </w:t>
            </w:r>
            <w:r w:rsidRPr="008B6467">
              <w:rPr>
                <w:rStyle w:val="Strong"/>
                <w:sz w:val="20"/>
                <w:szCs w:val="20"/>
              </w:rPr>
              <w:t>5</w:t>
            </w:r>
            <w:r w:rsidRPr="008B6467">
              <w:rPr>
                <w:sz w:val="20"/>
                <w:szCs w:val="20"/>
              </w:rPr>
              <w:t xml:space="preserve"> иматели делумно се транспарентни, а </w:t>
            </w:r>
            <w:r w:rsidRPr="008B6467">
              <w:rPr>
                <w:rStyle w:val="Strong"/>
                <w:sz w:val="20"/>
                <w:szCs w:val="20"/>
              </w:rPr>
              <w:t>92</w:t>
            </w:r>
            <w:r w:rsidRPr="008B6467">
              <w:rPr>
                <w:sz w:val="20"/>
                <w:szCs w:val="20"/>
              </w:rPr>
              <w:t xml:space="preserve"> иматели не доставија линкови за да се </w:t>
            </w:r>
            <w:proofErr w:type="spellStart"/>
            <w:r w:rsidRPr="008B6467">
              <w:rPr>
                <w:sz w:val="20"/>
                <w:szCs w:val="20"/>
              </w:rPr>
              <w:t>мониторира</w:t>
            </w:r>
            <w:proofErr w:type="spellEnd"/>
            <w:r w:rsidRPr="008B6467">
              <w:rPr>
                <w:sz w:val="20"/>
                <w:szCs w:val="20"/>
              </w:rPr>
              <w:t xml:space="preserve"> нивната транспарентност.</w:t>
            </w:r>
            <w:r w:rsidRPr="008B6467">
              <w:rPr>
                <w:rStyle w:val="Strong"/>
                <w:sz w:val="20"/>
                <w:szCs w:val="20"/>
              </w:rPr>
              <w:t xml:space="preserve"> 8</w:t>
            </w:r>
            <w:r w:rsidRPr="008B6467">
              <w:rPr>
                <w:sz w:val="20"/>
                <w:szCs w:val="20"/>
              </w:rPr>
              <w:t xml:space="preserve"> иматели не доставија извештаи до Агенцијата во законскиот рок.</w:t>
            </w:r>
          </w:p>
          <w:p w14:paraId="34127439" w14:textId="77777777" w:rsidR="00A52A9A" w:rsidRPr="008B6467" w:rsidRDefault="00A52A9A" w:rsidP="00A86A0C">
            <w:pPr>
              <w:pStyle w:val="TableContents"/>
              <w:jc w:val="both"/>
              <w:rPr>
                <w:sz w:val="20"/>
                <w:szCs w:val="20"/>
              </w:rPr>
            </w:pPr>
            <w:r w:rsidRPr="008B6467">
              <w:rPr>
                <w:sz w:val="20"/>
                <w:szCs w:val="20"/>
              </w:rPr>
              <w:t>Кај јавните претпријатија проактивна транспарентност прикажаа</w:t>
            </w:r>
            <w:r w:rsidRPr="008B6467">
              <w:rPr>
                <w:rStyle w:val="Strong"/>
                <w:sz w:val="20"/>
                <w:szCs w:val="20"/>
              </w:rPr>
              <w:t xml:space="preserve"> 52</w:t>
            </w:r>
            <w:r w:rsidRPr="008B6467">
              <w:rPr>
                <w:sz w:val="20"/>
                <w:szCs w:val="20"/>
              </w:rPr>
              <w:t xml:space="preserve"> </w:t>
            </w:r>
            <w:proofErr w:type="spellStart"/>
            <w:r w:rsidRPr="008B6467">
              <w:rPr>
                <w:sz w:val="20"/>
                <w:szCs w:val="20"/>
              </w:rPr>
              <w:t>иматела</w:t>
            </w:r>
            <w:proofErr w:type="spellEnd"/>
            <w:r w:rsidRPr="008B6467">
              <w:rPr>
                <w:sz w:val="20"/>
                <w:szCs w:val="20"/>
              </w:rPr>
              <w:t xml:space="preserve">, </w:t>
            </w:r>
            <w:r w:rsidRPr="008B6467">
              <w:rPr>
                <w:rStyle w:val="Strong"/>
                <w:sz w:val="20"/>
                <w:szCs w:val="20"/>
              </w:rPr>
              <w:t>17</w:t>
            </w:r>
            <w:r w:rsidRPr="008B6467">
              <w:rPr>
                <w:sz w:val="20"/>
                <w:szCs w:val="20"/>
              </w:rPr>
              <w:t xml:space="preserve"> се делумно транспарентни, а </w:t>
            </w:r>
            <w:r w:rsidRPr="008B6467">
              <w:rPr>
                <w:rStyle w:val="Strong"/>
                <w:sz w:val="20"/>
                <w:szCs w:val="20"/>
              </w:rPr>
              <w:t>233</w:t>
            </w:r>
            <w:r w:rsidRPr="008B6467">
              <w:rPr>
                <w:sz w:val="20"/>
                <w:szCs w:val="20"/>
              </w:rPr>
              <w:t xml:space="preserve"> иматели не ја испочитуваа оваа обврска во своите извештаи.</w:t>
            </w:r>
            <w:r w:rsidRPr="008B6467">
              <w:rPr>
                <w:rStyle w:val="Strong"/>
                <w:sz w:val="20"/>
                <w:szCs w:val="20"/>
              </w:rPr>
              <w:t xml:space="preserve"> 23</w:t>
            </w:r>
            <w:r w:rsidRPr="008B6467">
              <w:rPr>
                <w:sz w:val="20"/>
                <w:szCs w:val="20"/>
              </w:rPr>
              <w:t xml:space="preserve"> иматели не доставија годишни извештаи.</w:t>
            </w:r>
          </w:p>
          <w:p w14:paraId="4301749E" w14:textId="77777777" w:rsidR="00A52A9A" w:rsidRPr="008B6467" w:rsidRDefault="00A52A9A" w:rsidP="00A86A0C">
            <w:pPr>
              <w:pStyle w:val="TableContents"/>
              <w:jc w:val="both"/>
              <w:rPr>
                <w:sz w:val="20"/>
                <w:szCs w:val="20"/>
              </w:rPr>
            </w:pPr>
            <w:r w:rsidRPr="008B6467">
              <w:rPr>
                <w:sz w:val="20"/>
                <w:szCs w:val="20"/>
              </w:rPr>
              <w:t xml:space="preserve">Од образовните институции </w:t>
            </w:r>
            <w:r w:rsidRPr="008B6467">
              <w:rPr>
                <w:rStyle w:val="Strong"/>
                <w:sz w:val="20"/>
                <w:szCs w:val="20"/>
              </w:rPr>
              <w:t xml:space="preserve">441 </w:t>
            </w:r>
            <w:r w:rsidRPr="008B6467">
              <w:rPr>
                <w:sz w:val="20"/>
                <w:szCs w:val="20"/>
              </w:rPr>
              <w:t xml:space="preserve">иматели не се проактивно транспарентни, делумно се </w:t>
            </w:r>
            <w:r w:rsidRPr="008B6467">
              <w:rPr>
                <w:rStyle w:val="Strong"/>
                <w:sz w:val="20"/>
                <w:szCs w:val="20"/>
              </w:rPr>
              <w:t>33</w:t>
            </w:r>
            <w:r w:rsidRPr="008B6467">
              <w:rPr>
                <w:sz w:val="20"/>
                <w:szCs w:val="20"/>
              </w:rPr>
              <w:t xml:space="preserve"> иматели, а само </w:t>
            </w:r>
            <w:r w:rsidRPr="008B6467">
              <w:rPr>
                <w:rStyle w:val="Strong"/>
                <w:sz w:val="20"/>
                <w:szCs w:val="20"/>
              </w:rPr>
              <w:t>67</w:t>
            </w:r>
            <w:r w:rsidRPr="008B6467">
              <w:rPr>
                <w:sz w:val="20"/>
                <w:szCs w:val="20"/>
              </w:rPr>
              <w:t xml:space="preserve"> известуваат за својата транспарентност кон барателите на информации. Службените лица кај </w:t>
            </w:r>
            <w:r w:rsidRPr="008B6467">
              <w:rPr>
                <w:rStyle w:val="Strong"/>
                <w:sz w:val="20"/>
                <w:szCs w:val="20"/>
              </w:rPr>
              <w:t>38</w:t>
            </w:r>
            <w:r w:rsidRPr="008B6467">
              <w:rPr>
                <w:sz w:val="20"/>
                <w:szCs w:val="20"/>
              </w:rPr>
              <w:t xml:space="preserve"> иматели не доставија извештаи за имплементација на Законот.</w:t>
            </w:r>
          </w:p>
          <w:p w14:paraId="29E396EF" w14:textId="77777777" w:rsidR="00A52A9A" w:rsidRPr="008B6467" w:rsidRDefault="00A52A9A" w:rsidP="00A86A0C">
            <w:pPr>
              <w:pStyle w:val="TableContents"/>
              <w:jc w:val="both"/>
              <w:rPr>
                <w:sz w:val="20"/>
                <w:szCs w:val="20"/>
              </w:rPr>
            </w:pPr>
            <w:r w:rsidRPr="008B6467">
              <w:rPr>
                <w:sz w:val="20"/>
                <w:szCs w:val="20"/>
              </w:rPr>
              <w:t xml:space="preserve">Службените лица кај </w:t>
            </w:r>
            <w:r w:rsidRPr="008B6467">
              <w:rPr>
                <w:rStyle w:val="Strong"/>
                <w:sz w:val="20"/>
                <w:szCs w:val="20"/>
              </w:rPr>
              <w:t>52</w:t>
            </w:r>
            <w:r w:rsidRPr="008B6467">
              <w:rPr>
                <w:sz w:val="20"/>
                <w:szCs w:val="20"/>
              </w:rPr>
              <w:t xml:space="preserve"> единици на локалната самоуправа и Центрите за развој на </w:t>
            </w:r>
            <w:proofErr w:type="spellStart"/>
            <w:r w:rsidRPr="008B6467">
              <w:rPr>
                <w:sz w:val="20"/>
                <w:szCs w:val="20"/>
              </w:rPr>
              <w:t>планските</w:t>
            </w:r>
            <w:proofErr w:type="spellEnd"/>
            <w:r w:rsidRPr="008B6467">
              <w:rPr>
                <w:sz w:val="20"/>
                <w:szCs w:val="20"/>
              </w:rPr>
              <w:t xml:space="preserve"> региони известуваат за својата проактивна </w:t>
            </w:r>
            <w:r w:rsidRPr="008B6467">
              <w:rPr>
                <w:sz w:val="20"/>
                <w:szCs w:val="20"/>
              </w:rPr>
              <w:lastRenderedPageBreak/>
              <w:t xml:space="preserve">транспарентност, додека </w:t>
            </w:r>
            <w:r w:rsidRPr="008B6467">
              <w:rPr>
                <w:rStyle w:val="Strong"/>
                <w:sz w:val="20"/>
                <w:szCs w:val="20"/>
              </w:rPr>
              <w:t xml:space="preserve">30 </w:t>
            </w:r>
            <w:r w:rsidRPr="008B6467">
              <w:rPr>
                <w:sz w:val="20"/>
                <w:szCs w:val="20"/>
              </w:rPr>
              <w:t xml:space="preserve">иматели не доставија линкови за почитување на членот 10. Делумно транспарентни се </w:t>
            </w:r>
            <w:r w:rsidRPr="008B6467">
              <w:rPr>
                <w:rStyle w:val="Strong"/>
                <w:sz w:val="20"/>
                <w:szCs w:val="20"/>
              </w:rPr>
              <w:t>5</w:t>
            </w:r>
            <w:r w:rsidRPr="008B6467">
              <w:rPr>
                <w:sz w:val="20"/>
                <w:szCs w:val="20"/>
              </w:rPr>
              <w:t xml:space="preserve"> иматели, додека </w:t>
            </w:r>
            <w:r w:rsidRPr="008B6467">
              <w:rPr>
                <w:rStyle w:val="Strong"/>
                <w:sz w:val="20"/>
                <w:szCs w:val="20"/>
              </w:rPr>
              <w:t>1</w:t>
            </w:r>
            <w:r w:rsidRPr="008B6467">
              <w:rPr>
                <w:sz w:val="20"/>
                <w:szCs w:val="20"/>
              </w:rPr>
              <w:t xml:space="preserve"> имател не достави извештај.</w:t>
            </w:r>
          </w:p>
          <w:p w14:paraId="1B2217E2" w14:textId="77777777" w:rsidR="00A52A9A" w:rsidRPr="008B6467" w:rsidRDefault="00A52A9A" w:rsidP="00A86A0C">
            <w:pPr>
              <w:pStyle w:val="TableContents"/>
              <w:jc w:val="both"/>
              <w:rPr>
                <w:sz w:val="20"/>
                <w:szCs w:val="20"/>
              </w:rPr>
            </w:pPr>
            <w:r w:rsidRPr="008B6467">
              <w:rPr>
                <w:sz w:val="20"/>
                <w:szCs w:val="20"/>
              </w:rPr>
              <w:t xml:space="preserve">За проактивна транспарентност известуваат само </w:t>
            </w:r>
            <w:r w:rsidRPr="008B6467">
              <w:rPr>
                <w:rStyle w:val="Strong"/>
                <w:sz w:val="20"/>
                <w:szCs w:val="20"/>
              </w:rPr>
              <w:t xml:space="preserve">5 </w:t>
            </w:r>
            <w:r w:rsidRPr="008B6467">
              <w:rPr>
                <w:sz w:val="20"/>
                <w:szCs w:val="20"/>
              </w:rPr>
              <w:t xml:space="preserve">политички партии, </w:t>
            </w:r>
            <w:r w:rsidRPr="008B6467">
              <w:rPr>
                <w:rStyle w:val="Strong"/>
                <w:sz w:val="20"/>
                <w:szCs w:val="20"/>
              </w:rPr>
              <w:t xml:space="preserve">5 </w:t>
            </w:r>
            <w:r w:rsidRPr="008B6467">
              <w:rPr>
                <w:sz w:val="20"/>
                <w:szCs w:val="20"/>
              </w:rPr>
              <w:t xml:space="preserve">се делумно, додека </w:t>
            </w:r>
            <w:r w:rsidRPr="008B6467">
              <w:rPr>
                <w:rStyle w:val="Strong"/>
                <w:sz w:val="20"/>
                <w:szCs w:val="20"/>
              </w:rPr>
              <w:t xml:space="preserve">29 </w:t>
            </w:r>
            <w:r w:rsidRPr="008B6467">
              <w:rPr>
                <w:sz w:val="20"/>
                <w:szCs w:val="20"/>
              </w:rPr>
              <w:t xml:space="preserve">не известија за имплементација на членот 10 од Законот.  Извештај за својата работа по однос на слободниот пристап не доставија </w:t>
            </w:r>
            <w:r w:rsidRPr="008B6467">
              <w:rPr>
                <w:rStyle w:val="Strong"/>
                <w:sz w:val="20"/>
                <w:szCs w:val="20"/>
              </w:rPr>
              <w:t>18</w:t>
            </w:r>
            <w:r w:rsidRPr="008B6467">
              <w:rPr>
                <w:sz w:val="20"/>
                <w:szCs w:val="20"/>
              </w:rPr>
              <w:t xml:space="preserve"> иматели.</w:t>
            </w:r>
          </w:p>
          <w:p w14:paraId="05FAF067" w14:textId="77777777" w:rsidR="00A52A9A" w:rsidRPr="008B6467" w:rsidRDefault="00A52A9A" w:rsidP="00A86A0C">
            <w:pPr>
              <w:pStyle w:val="TableContents"/>
              <w:jc w:val="both"/>
              <w:rPr>
                <w:sz w:val="20"/>
                <w:szCs w:val="20"/>
              </w:rPr>
            </w:pPr>
            <w:r w:rsidRPr="008B6467">
              <w:rPr>
                <w:sz w:val="20"/>
                <w:szCs w:val="20"/>
              </w:rPr>
              <w:t xml:space="preserve">Службените лица кај </w:t>
            </w:r>
            <w:r w:rsidRPr="008B6467">
              <w:rPr>
                <w:rStyle w:val="Strong"/>
                <w:sz w:val="20"/>
                <w:szCs w:val="20"/>
              </w:rPr>
              <w:t>24</w:t>
            </w:r>
            <w:r w:rsidRPr="008B6467">
              <w:rPr>
                <w:sz w:val="20"/>
                <w:szCs w:val="20"/>
              </w:rPr>
              <w:t xml:space="preserve"> иматели од правните и физички лица кои вршат јавни овластувања и дејност од јавен интерес известуваат за својата транспарентност,</w:t>
            </w:r>
            <w:r w:rsidRPr="008B6467">
              <w:rPr>
                <w:rStyle w:val="Strong"/>
                <w:sz w:val="20"/>
                <w:szCs w:val="20"/>
              </w:rPr>
              <w:t xml:space="preserve"> 6</w:t>
            </w:r>
            <w:r w:rsidRPr="008B6467">
              <w:rPr>
                <w:sz w:val="20"/>
                <w:szCs w:val="20"/>
              </w:rPr>
              <w:t xml:space="preserve"> се делумно </w:t>
            </w:r>
            <w:proofErr w:type="spellStart"/>
            <w:r w:rsidRPr="008B6467">
              <w:rPr>
                <w:sz w:val="20"/>
                <w:szCs w:val="20"/>
              </w:rPr>
              <w:t>отчетни</w:t>
            </w:r>
            <w:proofErr w:type="spellEnd"/>
            <w:r w:rsidRPr="008B6467">
              <w:rPr>
                <w:sz w:val="20"/>
                <w:szCs w:val="20"/>
              </w:rPr>
              <w:t xml:space="preserve">, додека </w:t>
            </w:r>
            <w:r w:rsidRPr="008B6467">
              <w:rPr>
                <w:rStyle w:val="Strong"/>
                <w:sz w:val="20"/>
                <w:szCs w:val="20"/>
              </w:rPr>
              <w:t xml:space="preserve">29 </w:t>
            </w:r>
            <w:r w:rsidRPr="008B6467">
              <w:rPr>
                <w:sz w:val="20"/>
                <w:szCs w:val="20"/>
              </w:rPr>
              <w:t xml:space="preserve">не известија за нивната </w:t>
            </w:r>
            <w:proofErr w:type="spellStart"/>
            <w:r w:rsidRPr="008B6467">
              <w:rPr>
                <w:sz w:val="20"/>
                <w:szCs w:val="20"/>
              </w:rPr>
              <w:t>проактивност</w:t>
            </w:r>
            <w:proofErr w:type="spellEnd"/>
            <w:r w:rsidRPr="008B6467">
              <w:rPr>
                <w:sz w:val="20"/>
                <w:szCs w:val="20"/>
              </w:rPr>
              <w:t xml:space="preserve"> во работата. </w:t>
            </w:r>
            <w:r w:rsidRPr="008B6467">
              <w:rPr>
                <w:rStyle w:val="Strong"/>
                <w:sz w:val="20"/>
                <w:szCs w:val="20"/>
              </w:rPr>
              <w:t>14</w:t>
            </w:r>
            <w:r w:rsidRPr="008B6467">
              <w:rPr>
                <w:sz w:val="20"/>
                <w:szCs w:val="20"/>
              </w:rPr>
              <w:t xml:space="preserve"> иматели не доставија Годишни извештаи.</w:t>
            </w:r>
          </w:p>
          <w:p w14:paraId="06E554D8" w14:textId="77777777" w:rsidR="00A52A9A" w:rsidRPr="008B6467" w:rsidRDefault="00A52A9A" w:rsidP="00A86A0C">
            <w:pPr>
              <w:pStyle w:val="TableContents"/>
              <w:jc w:val="both"/>
              <w:rPr>
                <w:sz w:val="20"/>
                <w:szCs w:val="20"/>
              </w:rPr>
            </w:pPr>
            <w:r w:rsidRPr="008B6467">
              <w:rPr>
                <w:sz w:val="20"/>
                <w:szCs w:val="20"/>
              </w:rPr>
              <w:t>Судската власт е проа</w:t>
            </w:r>
            <w:r>
              <w:rPr>
                <w:sz w:val="20"/>
                <w:szCs w:val="20"/>
              </w:rPr>
              <w:t>к</w:t>
            </w:r>
            <w:r w:rsidRPr="008B6467">
              <w:rPr>
                <w:sz w:val="20"/>
                <w:szCs w:val="20"/>
              </w:rPr>
              <w:t xml:space="preserve">тивна кај </w:t>
            </w:r>
            <w:r w:rsidRPr="008B6467">
              <w:rPr>
                <w:rStyle w:val="Strong"/>
                <w:sz w:val="20"/>
                <w:szCs w:val="20"/>
              </w:rPr>
              <w:t xml:space="preserve">26 </w:t>
            </w:r>
            <w:r w:rsidRPr="008B6467">
              <w:rPr>
                <w:sz w:val="20"/>
                <w:szCs w:val="20"/>
              </w:rPr>
              <w:t>иматели,</w:t>
            </w:r>
            <w:r w:rsidRPr="008B6467">
              <w:rPr>
                <w:rStyle w:val="Strong"/>
                <w:sz w:val="20"/>
                <w:szCs w:val="20"/>
              </w:rPr>
              <w:t xml:space="preserve"> 2</w:t>
            </w:r>
            <w:r w:rsidRPr="008B6467">
              <w:rPr>
                <w:sz w:val="20"/>
                <w:szCs w:val="20"/>
              </w:rPr>
              <w:t xml:space="preserve"> иматели се делумно транспарентни, а </w:t>
            </w:r>
            <w:r w:rsidRPr="008B6467">
              <w:rPr>
                <w:rStyle w:val="Strong"/>
                <w:sz w:val="20"/>
                <w:szCs w:val="20"/>
              </w:rPr>
              <w:t>36</w:t>
            </w:r>
            <w:r w:rsidRPr="008B6467">
              <w:rPr>
                <w:sz w:val="20"/>
                <w:szCs w:val="20"/>
              </w:rPr>
              <w:t xml:space="preserve"> не прикажуваат податоци за </w:t>
            </w:r>
            <w:proofErr w:type="spellStart"/>
            <w:r w:rsidRPr="008B6467">
              <w:rPr>
                <w:sz w:val="20"/>
                <w:szCs w:val="20"/>
              </w:rPr>
              <w:t>проактивното</w:t>
            </w:r>
            <w:proofErr w:type="spellEnd"/>
            <w:r w:rsidRPr="008B6467">
              <w:rPr>
                <w:sz w:val="20"/>
                <w:szCs w:val="20"/>
              </w:rPr>
              <w:t xml:space="preserve"> објавување на информации од јавен карактер. Агенцијата за </w:t>
            </w:r>
            <w:r w:rsidRPr="008B6467">
              <w:rPr>
                <w:rStyle w:val="Strong"/>
                <w:sz w:val="20"/>
                <w:szCs w:val="20"/>
              </w:rPr>
              <w:t>3</w:t>
            </w:r>
            <w:r w:rsidRPr="008B6467">
              <w:rPr>
                <w:sz w:val="20"/>
                <w:szCs w:val="20"/>
              </w:rPr>
              <w:t xml:space="preserve"> иматели не може да ја прикаже транспарентноста од причини што истите не доставија извештај во законски предвидениот рок.</w:t>
            </w:r>
          </w:p>
        </w:tc>
      </w:tr>
      <w:tr w:rsidR="00A52A9A" w14:paraId="05E9E759"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131774D6" w14:textId="77777777" w:rsidR="00A52A9A" w:rsidRDefault="00A52A9A" w:rsidP="00A86A0C">
            <w:pPr>
              <w:pStyle w:val="TableContents"/>
              <w:jc w:val="center"/>
            </w:pPr>
            <w:r>
              <w:rPr>
                <w:b/>
                <w:sz w:val="20"/>
              </w:rPr>
              <w:lastRenderedPageBreak/>
              <w:t>1.3 Објавување на основните информации за јавните набавки на интернет страниците на институциите</w:t>
            </w:r>
          </w:p>
        </w:tc>
      </w:tr>
      <w:tr w:rsidR="00A52A9A" w14:paraId="7F92AA93"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795CFE3F"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01.10.2021-31.08.2023</w:t>
            </w:r>
          </w:p>
        </w:tc>
      </w:tr>
      <w:tr w:rsidR="00A52A9A" w14:paraId="4844550F"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FFFFFF"/>
          </w:tcPr>
          <w:p w14:paraId="38A6B4A0"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DEEAF6"/>
          </w:tcPr>
          <w:p w14:paraId="6E6C3544" w14:textId="77777777" w:rsidR="00A52A9A" w:rsidRPr="007D0DCE" w:rsidRDefault="00A52A9A" w:rsidP="00A86A0C">
            <w:pPr>
              <w:pStyle w:val="TableContents"/>
              <w:jc w:val="center"/>
              <w:rPr>
                <w:sz w:val="20"/>
                <w:szCs w:val="20"/>
              </w:rPr>
            </w:pPr>
            <w:r w:rsidRPr="007D0DCE">
              <w:rPr>
                <w:sz w:val="20"/>
                <w:szCs w:val="20"/>
              </w:rPr>
              <w:t>Генерален Секретаријат на Влада на Република Северна Македонија</w:t>
            </w:r>
          </w:p>
        </w:tc>
      </w:tr>
      <w:tr w:rsidR="00A52A9A" w14:paraId="0EE67D61" w14:textId="77777777" w:rsidTr="00A86A0C">
        <w:tblPrEx>
          <w:tblCellMar>
            <w:left w:w="115" w:type="dxa"/>
            <w:right w:w="115" w:type="dxa"/>
          </w:tblCellMar>
        </w:tblPrEx>
        <w:tc>
          <w:tcPr>
            <w:tcW w:w="4039" w:type="dxa"/>
            <w:vMerge w:val="restart"/>
            <w:tcBorders>
              <w:top w:val="single" w:sz="8" w:space="0" w:color="000001"/>
              <w:left w:val="single" w:sz="8" w:space="0" w:color="000001"/>
              <w:right w:val="single" w:sz="8" w:space="0" w:color="000001"/>
            </w:tcBorders>
            <w:shd w:val="clear" w:color="auto" w:fill="FFFFFF"/>
            <w:vAlign w:val="center"/>
          </w:tcPr>
          <w:p w14:paraId="007FF4E6" w14:textId="77777777" w:rsidR="00A52A9A" w:rsidRDefault="00A52A9A" w:rsidP="00A86A0C">
            <w:pPr>
              <w:pStyle w:val="TableContents"/>
              <w:spacing w:after="0"/>
              <w:jc w:val="center"/>
            </w:pPr>
            <w:r>
              <w:rPr>
                <w:b/>
                <w:sz w:val="20"/>
              </w:rPr>
              <w:t>Статус на реализација на заложбата</w:t>
            </w:r>
          </w:p>
          <w:p w14:paraId="47E2C3DE"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6180EAD9"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7"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29BE6BE9" w14:textId="77777777" w:rsidR="00A52A9A" w:rsidRDefault="00A52A9A" w:rsidP="00A86A0C">
            <w:pPr>
              <w:pStyle w:val="TableContents"/>
              <w:jc w:val="center"/>
            </w:pPr>
            <w:r>
              <w:rPr>
                <w:b/>
                <w:color w:val="000000"/>
                <w:sz w:val="18"/>
              </w:rPr>
              <w:t>ограничено</w:t>
            </w:r>
          </w:p>
        </w:tc>
        <w:tc>
          <w:tcPr>
            <w:tcW w:w="1381"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93EA4C3" w14:textId="77777777" w:rsidR="00A52A9A" w:rsidRDefault="00A52A9A" w:rsidP="00A86A0C">
            <w:pPr>
              <w:pStyle w:val="TableContents"/>
              <w:jc w:val="center"/>
            </w:pPr>
            <w:r>
              <w:rPr>
                <w:b/>
                <w:color w:val="000000"/>
                <w:sz w:val="18"/>
              </w:rPr>
              <w:t>значително</w:t>
            </w: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3437B85" w14:textId="77777777" w:rsidR="00A52A9A" w:rsidRDefault="00A52A9A" w:rsidP="00A86A0C">
            <w:pPr>
              <w:pStyle w:val="TableContents"/>
              <w:jc w:val="center"/>
            </w:pPr>
            <w:r>
              <w:rPr>
                <w:b/>
                <w:color w:val="000000"/>
                <w:sz w:val="18"/>
              </w:rPr>
              <w:t>завршено</w:t>
            </w:r>
          </w:p>
        </w:tc>
      </w:tr>
      <w:tr w:rsidR="00A52A9A" w14:paraId="10A777FA" w14:textId="77777777" w:rsidTr="00A86A0C">
        <w:tblPrEx>
          <w:tblCellMar>
            <w:left w:w="115" w:type="dxa"/>
            <w:right w:w="115" w:type="dxa"/>
          </w:tblCellMar>
        </w:tblPrEx>
        <w:tc>
          <w:tcPr>
            <w:tcW w:w="4039" w:type="dxa"/>
            <w:vMerge/>
            <w:tcBorders>
              <w:top w:val="single" w:sz="8" w:space="0" w:color="000001"/>
              <w:left w:val="single" w:sz="8" w:space="0" w:color="000001"/>
              <w:right w:val="single" w:sz="8" w:space="0" w:color="000001"/>
            </w:tcBorders>
            <w:shd w:val="clear" w:color="auto" w:fill="FFFFFF"/>
            <w:vAlign w:val="center"/>
          </w:tcPr>
          <w:p w14:paraId="3B64A078"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E6CF835" w14:textId="77777777" w:rsidR="00A52A9A" w:rsidRDefault="00A52A9A" w:rsidP="00A86A0C">
            <w:pPr>
              <w:pStyle w:val="TableContents"/>
              <w:jc w:val="both"/>
            </w:pPr>
          </w:p>
        </w:tc>
        <w:tc>
          <w:tcPr>
            <w:tcW w:w="1367"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557AD036" w14:textId="77777777" w:rsidR="00A52A9A" w:rsidRDefault="00A52A9A" w:rsidP="00A86A0C">
            <w:pPr>
              <w:pStyle w:val="TableContents"/>
              <w:jc w:val="both"/>
            </w:pPr>
          </w:p>
        </w:tc>
        <w:tc>
          <w:tcPr>
            <w:tcW w:w="1381"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639281FB" w14:textId="77777777" w:rsidR="00A52A9A" w:rsidRDefault="00A52A9A" w:rsidP="00A86A0C">
            <w:pPr>
              <w:pStyle w:val="TableContents"/>
              <w:jc w:val="both"/>
            </w:pP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6915646" w14:textId="77777777" w:rsidR="00A52A9A" w:rsidRDefault="00A52A9A" w:rsidP="00A86A0C">
            <w:pPr>
              <w:pStyle w:val="TableContents"/>
              <w:jc w:val="both"/>
            </w:pPr>
          </w:p>
        </w:tc>
      </w:tr>
      <w:tr w:rsidR="00A52A9A" w14:paraId="50618EAA"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BDD6EE"/>
          </w:tcPr>
          <w:p w14:paraId="03B25C4F" w14:textId="77777777" w:rsidR="00A52A9A" w:rsidRDefault="00A52A9A" w:rsidP="00A86A0C">
            <w:pPr>
              <w:pStyle w:val="TableContents"/>
              <w:jc w:val="center"/>
            </w:pPr>
            <w:r>
              <w:rPr>
                <w:b/>
                <w:sz w:val="20"/>
              </w:rPr>
              <w:t>Достигнувања</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BDD6EE"/>
          </w:tcPr>
          <w:p w14:paraId="6C8BF5CC"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6FE6997B"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49AAFDD4" w14:textId="77777777" w:rsidR="00A52A9A" w:rsidRDefault="00A52A9A" w:rsidP="00A86A0C">
            <w:pPr>
              <w:pStyle w:val="TableContents"/>
              <w:spacing w:after="0"/>
              <w:jc w:val="both"/>
            </w:pPr>
            <w:r>
              <w:rPr>
                <w:b/>
                <w:sz w:val="20"/>
              </w:rPr>
              <w:t>1.3.1 Креиран посебен дел (</w:t>
            </w:r>
            <w:proofErr w:type="spellStart"/>
            <w:r>
              <w:rPr>
                <w:b/>
                <w:sz w:val="20"/>
              </w:rPr>
              <w:t>таб</w:t>
            </w:r>
            <w:proofErr w:type="spellEnd"/>
            <w:r>
              <w:rPr>
                <w:b/>
                <w:sz w:val="20"/>
              </w:rPr>
              <w:t>) за „јавни набавки“ на веб-страниците на институциите (договорните органи)</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3FD88156" w14:textId="77777777" w:rsidR="00A52A9A" w:rsidRPr="008B6467" w:rsidRDefault="00A52A9A" w:rsidP="00A86A0C">
            <w:pPr>
              <w:pStyle w:val="TableContents"/>
              <w:jc w:val="both"/>
              <w:rPr>
                <w:sz w:val="20"/>
                <w:szCs w:val="20"/>
              </w:rPr>
            </w:pPr>
            <w:r w:rsidRPr="008B6467">
              <w:rPr>
                <w:sz w:val="20"/>
                <w:szCs w:val="20"/>
              </w:rPr>
              <w:t xml:space="preserve">Во насока на исполнување на оваа заложба, Владата на РСМ на Четириесеттата седница одржана на 19.04.2022 година,  ги задолжи сите буџетски корисници и им укажа на јавните претпријатија основани од државата, и на акционерските друштва </w:t>
            </w:r>
            <w:r w:rsidRPr="008B6467">
              <w:rPr>
                <w:sz w:val="20"/>
                <w:szCs w:val="20"/>
              </w:rPr>
              <w:lastRenderedPageBreak/>
              <w:t>во државна сопственост, а им препорача на единиците на локалната самоуправа , да креираат посебен дел (</w:t>
            </w:r>
            <w:proofErr w:type="spellStart"/>
            <w:r w:rsidRPr="008B6467">
              <w:rPr>
                <w:sz w:val="20"/>
                <w:szCs w:val="20"/>
              </w:rPr>
              <w:t>таб</w:t>
            </w:r>
            <w:proofErr w:type="spellEnd"/>
            <w:r w:rsidRPr="008B6467">
              <w:rPr>
                <w:sz w:val="20"/>
                <w:szCs w:val="20"/>
              </w:rPr>
              <w:t>) на своите веб страници за „ јавни набавки” и да ги објават документите наведени во заложбата.</w:t>
            </w:r>
          </w:p>
        </w:tc>
      </w:tr>
      <w:tr w:rsidR="00A52A9A" w14:paraId="303F858B"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7C9AEA55" w14:textId="77777777" w:rsidR="00A52A9A" w:rsidRPr="007D0DCE" w:rsidRDefault="00A52A9A" w:rsidP="00A86A0C">
            <w:pPr>
              <w:pStyle w:val="TableContents"/>
              <w:spacing w:after="0"/>
              <w:jc w:val="both"/>
              <w:rPr>
                <w:b/>
                <w:sz w:val="20"/>
              </w:rPr>
            </w:pPr>
            <w:r>
              <w:rPr>
                <w:b/>
                <w:sz w:val="20"/>
              </w:rPr>
              <w:lastRenderedPageBreak/>
              <w:t>1.3.2 Се објавуваат на веб-страницата на секоја институција (во делот за „јавни набавки“) следниве информации и документи: - годишен план за јавни набавки (со сите измени и дополнувања); - огласи за јавни набавки (линкови од објавите од ЕСЈН); - известувања за склучени договори (линк од објавите од ЕСЈН); - склучените договори за јавни набавки и - известувања за реализирани договори (линкови од објавите од ЕСЈН).</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5E1CB963" w14:textId="77777777" w:rsidR="00A52A9A" w:rsidRPr="008B6467" w:rsidRDefault="00A52A9A" w:rsidP="00A86A0C">
            <w:pPr>
              <w:pStyle w:val="TableContents"/>
              <w:jc w:val="both"/>
              <w:rPr>
                <w:sz w:val="20"/>
                <w:szCs w:val="20"/>
              </w:rPr>
            </w:pPr>
            <w:r w:rsidRPr="008B6467">
              <w:rPr>
                <w:sz w:val="20"/>
                <w:szCs w:val="20"/>
              </w:rPr>
              <w:t xml:space="preserve">Од извршениот мониторинг до сега ваков </w:t>
            </w:r>
            <w:proofErr w:type="spellStart"/>
            <w:r w:rsidRPr="008B6467">
              <w:rPr>
                <w:sz w:val="20"/>
                <w:szCs w:val="20"/>
              </w:rPr>
              <w:t>таб</w:t>
            </w:r>
            <w:proofErr w:type="spellEnd"/>
            <w:r w:rsidRPr="008B6467">
              <w:rPr>
                <w:sz w:val="20"/>
                <w:szCs w:val="20"/>
              </w:rPr>
              <w:t xml:space="preserve"> креирале 120 институции. Процесот е тековен и ќе продолжи во континуитет.</w:t>
            </w:r>
          </w:p>
          <w:p w14:paraId="0F00E435" w14:textId="77777777" w:rsidR="00A52A9A" w:rsidRPr="008B6467" w:rsidRDefault="00A52A9A" w:rsidP="00A86A0C">
            <w:pPr>
              <w:pStyle w:val="TableContents"/>
              <w:jc w:val="both"/>
              <w:rPr>
                <w:sz w:val="20"/>
                <w:szCs w:val="20"/>
              </w:rPr>
            </w:pPr>
          </w:p>
        </w:tc>
      </w:tr>
      <w:tr w:rsidR="00A52A9A" w14:paraId="775A2200"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0FF2F97E" w14:textId="77777777" w:rsidR="00A52A9A" w:rsidRDefault="00A52A9A" w:rsidP="00A86A0C">
            <w:pPr>
              <w:pStyle w:val="TableContents"/>
              <w:jc w:val="center"/>
            </w:pPr>
            <w:r>
              <w:rPr>
                <w:b/>
                <w:sz w:val="20"/>
              </w:rPr>
              <w:t>1.4 Унапредување на пристапот до информации и бројот на објавени отворени податоци во единиците на локалната самоуправа (ЕЛС)</w:t>
            </w:r>
          </w:p>
        </w:tc>
      </w:tr>
      <w:tr w:rsidR="00A52A9A" w14:paraId="7808F889"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57D741ED"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01.10.2021-31.08.2022</w:t>
            </w:r>
          </w:p>
        </w:tc>
      </w:tr>
      <w:tr w:rsidR="00A52A9A" w14:paraId="5CB15B8A"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FFFFFF"/>
          </w:tcPr>
          <w:p w14:paraId="0B339F00"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DEEAF6"/>
          </w:tcPr>
          <w:p w14:paraId="566786F5" w14:textId="77777777" w:rsidR="00A52A9A" w:rsidRPr="007D0DCE" w:rsidRDefault="00A52A9A" w:rsidP="00A86A0C">
            <w:pPr>
              <w:pStyle w:val="TableContents"/>
              <w:jc w:val="center"/>
              <w:rPr>
                <w:sz w:val="20"/>
                <w:szCs w:val="20"/>
              </w:rPr>
            </w:pPr>
            <w:r w:rsidRPr="007D0DCE">
              <w:rPr>
                <w:sz w:val="20"/>
                <w:szCs w:val="20"/>
              </w:rPr>
              <w:t>Министерство за локална самоуправа</w:t>
            </w:r>
          </w:p>
        </w:tc>
      </w:tr>
      <w:tr w:rsidR="00A52A9A" w14:paraId="53DF8674" w14:textId="77777777" w:rsidTr="00A86A0C">
        <w:tblPrEx>
          <w:tblCellMar>
            <w:left w:w="115" w:type="dxa"/>
            <w:right w:w="115" w:type="dxa"/>
          </w:tblCellMar>
        </w:tblPrEx>
        <w:tc>
          <w:tcPr>
            <w:tcW w:w="4039" w:type="dxa"/>
            <w:vMerge w:val="restart"/>
            <w:tcBorders>
              <w:top w:val="single" w:sz="8" w:space="0" w:color="000001"/>
              <w:left w:val="single" w:sz="8" w:space="0" w:color="000001"/>
              <w:right w:val="single" w:sz="8" w:space="0" w:color="000001"/>
            </w:tcBorders>
            <w:shd w:val="clear" w:color="auto" w:fill="FFFFFF"/>
            <w:vAlign w:val="center"/>
          </w:tcPr>
          <w:p w14:paraId="1B11A49D" w14:textId="77777777" w:rsidR="00A52A9A" w:rsidRDefault="00A52A9A" w:rsidP="00A86A0C">
            <w:pPr>
              <w:pStyle w:val="TableContents"/>
              <w:spacing w:after="0"/>
              <w:jc w:val="center"/>
            </w:pPr>
            <w:r>
              <w:rPr>
                <w:b/>
                <w:sz w:val="20"/>
              </w:rPr>
              <w:t>Статус на реализација на заложбата</w:t>
            </w:r>
          </w:p>
          <w:p w14:paraId="0EE4C898"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79F0337A"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7"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EF3BB5F" w14:textId="77777777" w:rsidR="00A52A9A" w:rsidRDefault="00A52A9A" w:rsidP="00A86A0C">
            <w:pPr>
              <w:pStyle w:val="TableContents"/>
              <w:jc w:val="center"/>
            </w:pPr>
            <w:r>
              <w:rPr>
                <w:b/>
                <w:color w:val="000000"/>
                <w:sz w:val="18"/>
              </w:rPr>
              <w:t>ограничено</w:t>
            </w:r>
          </w:p>
        </w:tc>
        <w:tc>
          <w:tcPr>
            <w:tcW w:w="1381"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3767DC4A" w14:textId="77777777" w:rsidR="00A52A9A" w:rsidRDefault="00A52A9A" w:rsidP="00A86A0C">
            <w:pPr>
              <w:pStyle w:val="TableContents"/>
              <w:jc w:val="center"/>
            </w:pPr>
            <w:r>
              <w:rPr>
                <w:b/>
                <w:color w:val="000000"/>
                <w:sz w:val="18"/>
              </w:rPr>
              <w:t>значително</w:t>
            </w: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67AE63D" w14:textId="77777777" w:rsidR="00A52A9A" w:rsidRDefault="00A52A9A" w:rsidP="00A86A0C">
            <w:pPr>
              <w:pStyle w:val="TableContents"/>
              <w:jc w:val="center"/>
            </w:pPr>
            <w:r>
              <w:rPr>
                <w:b/>
                <w:color w:val="000000"/>
                <w:sz w:val="18"/>
              </w:rPr>
              <w:t>завршено</w:t>
            </w:r>
          </w:p>
        </w:tc>
      </w:tr>
      <w:tr w:rsidR="00A52A9A" w14:paraId="266828D1" w14:textId="77777777" w:rsidTr="00A86A0C">
        <w:tblPrEx>
          <w:tblCellMar>
            <w:left w:w="115" w:type="dxa"/>
            <w:right w:w="115" w:type="dxa"/>
          </w:tblCellMar>
        </w:tblPrEx>
        <w:tc>
          <w:tcPr>
            <w:tcW w:w="4039" w:type="dxa"/>
            <w:vMerge/>
            <w:tcBorders>
              <w:top w:val="single" w:sz="8" w:space="0" w:color="000001"/>
              <w:left w:val="single" w:sz="8" w:space="0" w:color="000001"/>
              <w:right w:val="single" w:sz="8" w:space="0" w:color="000001"/>
            </w:tcBorders>
            <w:shd w:val="clear" w:color="auto" w:fill="FFFFFF"/>
            <w:vAlign w:val="center"/>
          </w:tcPr>
          <w:p w14:paraId="4135F73E"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4E5ADCF7" w14:textId="77777777" w:rsidR="00A52A9A" w:rsidRDefault="00A52A9A" w:rsidP="00A86A0C">
            <w:pPr>
              <w:pStyle w:val="TableContents"/>
              <w:jc w:val="both"/>
            </w:pPr>
          </w:p>
        </w:tc>
        <w:tc>
          <w:tcPr>
            <w:tcW w:w="1367"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EDBC899" w14:textId="77777777" w:rsidR="00A52A9A" w:rsidRDefault="00A52A9A" w:rsidP="00A86A0C">
            <w:pPr>
              <w:pStyle w:val="TableContents"/>
              <w:jc w:val="both"/>
            </w:pPr>
          </w:p>
        </w:tc>
        <w:tc>
          <w:tcPr>
            <w:tcW w:w="1381"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20AB5965" w14:textId="77777777" w:rsidR="00A52A9A" w:rsidRDefault="00A52A9A" w:rsidP="00A86A0C">
            <w:pPr>
              <w:pStyle w:val="TableContents"/>
              <w:jc w:val="both"/>
            </w:pPr>
          </w:p>
        </w:tc>
        <w:tc>
          <w:tcPr>
            <w:tcW w:w="1192" w:type="dxa"/>
            <w:tcBorders>
              <w:top w:val="single" w:sz="8" w:space="0" w:color="000001"/>
              <w:left w:val="single" w:sz="8" w:space="0" w:color="000001"/>
              <w:bottom w:val="single" w:sz="8" w:space="0" w:color="000001"/>
              <w:right w:val="single" w:sz="8" w:space="0" w:color="000001"/>
            </w:tcBorders>
            <w:shd w:val="clear" w:color="auto" w:fill="548DD4"/>
            <w:vAlign w:val="center"/>
          </w:tcPr>
          <w:p w14:paraId="689139ED" w14:textId="77777777" w:rsidR="00A52A9A" w:rsidRDefault="00A52A9A" w:rsidP="00A86A0C">
            <w:pPr>
              <w:pStyle w:val="TableContents"/>
              <w:jc w:val="both"/>
            </w:pPr>
          </w:p>
        </w:tc>
      </w:tr>
      <w:tr w:rsidR="00A52A9A" w14:paraId="03DC9580"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BDD6EE"/>
          </w:tcPr>
          <w:p w14:paraId="04F2AD1A" w14:textId="77777777" w:rsidR="00A52A9A" w:rsidRDefault="00A52A9A" w:rsidP="00A86A0C">
            <w:pPr>
              <w:pStyle w:val="TableContents"/>
              <w:jc w:val="center"/>
            </w:pPr>
            <w:r>
              <w:rPr>
                <w:b/>
                <w:sz w:val="20"/>
              </w:rPr>
              <w:t>Достигнувања</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BDD6EE"/>
          </w:tcPr>
          <w:p w14:paraId="6CE76362"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54DF4A54"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405FFC62" w14:textId="77777777" w:rsidR="00A52A9A" w:rsidRDefault="00A52A9A" w:rsidP="00A86A0C">
            <w:pPr>
              <w:pStyle w:val="TableContents"/>
              <w:spacing w:after="0"/>
              <w:jc w:val="both"/>
            </w:pPr>
            <w:r>
              <w:rPr>
                <w:b/>
                <w:sz w:val="20"/>
              </w:rPr>
              <w:t>1.4.1 Единиците на локалната самоуправа учествуваат во спроведувањето на мерење на отвореноста на единиците на локалната самоуправа во Република Северна Македонија преку Индексот на отвореност</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3D620DE0" w14:textId="77777777" w:rsidR="00A52A9A" w:rsidRDefault="00A52A9A" w:rsidP="00A86A0C">
            <w:pPr>
              <w:pStyle w:val="TableContents"/>
              <w:jc w:val="both"/>
            </w:pPr>
            <w:r w:rsidRPr="008B6467">
              <w:rPr>
                <w:sz w:val="20"/>
                <w:szCs w:val="20"/>
              </w:rPr>
              <w:t>Спроведено истражување и објавен извештај од истражувањето за 2021 година </w:t>
            </w:r>
            <w:r w:rsidRPr="008B6467">
              <w:rPr>
                <w:b/>
                <w:sz w:val="20"/>
                <w:szCs w:val="20"/>
              </w:rPr>
              <w:t>(да)</w:t>
            </w:r>
            <w:r>
              <w:rPr>
                <w:b/>
              </w:rPr>
              <w:t> </w:t>
            </w:r>
            <w:hyperlink r:id="rId24" w:anchor="_blank" w:history="1">
              <w:r w:rsidRPr="00356237">
                <w:rPr>
                  <w:rStyle w:val="Hyperlink"/>
                  <w:b/>
                  <w:sz w:val="20"/>
                  <w:szCs w:val="20"/>
                </w:rPr>
                <w:t>линк</w:t>
              </w:r>
            </w:hyperlink>
            <w:r w:rsidRPr="00356237">
              <w:rPr>
                <w:b/>
                <w:sz w:val="20"/>
                <w:szCs w:val="20"/>
              </w:rPr>
              <w:t xml:space="preserve"> </w:t>
            </w:r>
          </w:p>
          <w:p w14:paraId="75BB0EC8" w14:textId="77777777" w:rsidR="00A52A9A" w:rsidRDefault="00A52A9A" w:rsidP="00A86A0C">
            <w:pPr>
              <w:pStyle w:val="TableContents"/>
              <w:jc w:val="both"/>
              <w:rPr>
                <w:b/>
              </w:rPr>
            </w:pPr>
            <w:r w:rsidRPr="008B6467">
              <w:rPr>
                <w:sz w:val="20"/>
                <w:szCs w:val="20"/>
              </w:rPr>
              <w:t>Спроведено истражување и објавен извештај од истражувањето за 2022 година </w:t>
            </w:r>
            <w:r w:rsidRPr="008B6467">
              <w:rPr>
                <w:b/>
                <w:sz w:val="20"/>
                <w:szCs w:val="20"/>
              </w:rPr>
              <w:t>(да)</w:t>
            </w:r>
            <w:r w:rsidRPr="00356237">
              <w:rPr>
                <w:sz w:val="20"/>
                <w:szCs w:val="20"/>
              </w:rPr>
              <w:t xml:space="preserve"> </w:t>
            </w:r>
            <w:hyperlink r:id="rId25" w:anchor="_blank" w:history="1">
              <w:r w:rsidRPr="00356237">
                <w:rPr>
                  <w:rStyle w:val="Hyperlink"/>
                  <w:b/>
                  <w:sz w:val="20"/>
                  <w:szCs w:val="20"/>
                </w:rPr>
                <w:t>линк</w:t>
              </w:r>
            </w:hyperlink>
          </w:p>
          <w:p w14:paraId="243308A4" w14:textId="77777777" w:rsidR="00A52A9A" w:rsidRPr="008B6467" w:rsidRDefault="00A52A9A" w:rsidP="00A86A0C">
            <w:pPr>
              <w:pStyle w:val="TableContents"/>
              <w:rPr>
                <w:sz w:val="20"/>
                <w:szCs w:val="20"/>
              </w:rPr>
            </w:pPr>
            <w:r w:rsidRPr="008B6467">
              <w:rPr>
                <w:b/>
                <w:sz w:val="20"/>
                <w:szCs w:val="20"/>
              </w:rPr>
              <w:t>Индикаторите се остварени</w:t>
            </w:r>
          </w:p>
        </w:tc>
      </w:tr>
      <w:tr w:rsidR="00A52A9A" w14:paraId="5173EEFC"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15334EB0" w14:textId="77777777" w:rsidR="00A52A9A" w:rsidRDefault="00A52A9A" w:rsidP="00A86A0C">
            <w:pPr>
              <w:pStyle w:val="TableContents"/>
              <w:spacing w:after="0"/>
              <w:jc w:val="both"/>
            </w:pPr>
            <w:r>
              <w:rPr>
                <w:b/>
                <w:sz w:val="20"/>
              </w:rPr>
              <w:t xml:space="preserve">1.4.2 Унапредени знаења за транспарентност и отворени податоци </w:t>
            </w:r>
            <w:r>
              <w:rPr>
                <w:b/>
                <w:sz w:val="20"/>
              </w:rPr>
              <w:lastRenderedPageBreak/>
              <w:t>преку одржување на обуки со претставници на општините</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6C5E6511" w14:textId="77777777" w:rsidR="00A52A9A" w:rsidRDefault="00A52A9A" w:rsidP="00A86A0C">
            <w:pPr>
              <w:pStyle w:val="TableContents"/>
              <w:jc w:val="both"/>
            </w:pPr>
            <w:r w:rsidRPr="008B6467">
              <w:rPr>
                <w:sz w:val="20"/>
                <w:szCs w:val="20"/>
              </w:rPr>
              <w:lastRenderedPageBreak/>
              <w:t xml:space="preserve">Број на одржани обуки за претставници на општините </w:t>
            </w:r>
            <w:r w:rsidRPr="008B6467">
              <w:rPr>
                <w:b/>
                <w:sz w:val="20"/>
                <w:szCs w:val="20"/>
              </w:rPr>
              <w:t>(две обуки)</w:t>
            </w:r>
            <w:r>
              <w:rPr>
                <w:b/>
              </w:rPr>
              <w:t xml:space="preserve"> </w:t>
            </w:r>
            <w:hyperlink r:id="rId26" w:anchor="_blank" w:history="1">
              <w:r w:rsidRPr="00356237">
                <w:rPr>
                  <w:rStyle w:val="Hyperlink"/>
                  <w:b/>
                  <w:sz w:val="20"/>
                  <w:szCs w:val="20"/>
                </w:rPr>
                <w:t>прва обука линк</w:t>
              </w:r>
            </w:hyperlink>
            <w:r w:rsidRPr="00356237">
              <w:rPr>
                <w:b/>
                <w:sz w:val="20"/>
                <w:szCs w:val="20"/>
              </w:rPr>
              <w:t xml:space="preserve"> и </w:t>
            </w:r>
            <w:hyperlink r:id="rId27" w:anchor="_blank" w:history="1">
              <w:r w:rsidRPr="00356237">
                <w:rPr>
                  <w:rStyle w:val="Hyperlink"/>
                  <w:b/>
                  <w:sz w:val="20"/>
                  <w:szCs w:val="20"/>
                </w:rPr>
                <w:t>втора обука линк</w:t>
              </w:r>
            </w:hyperlink>
            <w:r w:rsidRPr="00356237">
              <w:rPr>
                <w:b/>
                <w:sz w:val="20"/>
                <w:szCs w:val="20"/>
              </w:rPr>
              <w:t>)</w:t>
            </w:r>
          </w:p>
          <w:p w14:paraId="7C5820AD" w14:textId="77777777" w:rsidR="00A52A9A" w:rsidRPr="008B6467" w:rsidRDefault="00A52A9A" w:rsidP="00A86A0C">
            <w:pPr>
              <w:pStyle w:val="TableContents"/>
              <w:jc w:val="both"/>
              <w:rPr>
                <w:sz w:val="20"/>
                <w:szCs w:val="20"/>
              </w:rPr>
            </w:pPr>
            <w:r w:rsidRPr="008B6467">
              <w:rPr>
                <w:sz w:val="20"/>
                <w:szCs w:val="20"/>
              </w:rPr>
              <w:lastRenderedPageBreak/>
              <w:t xml:space="preserve">Број на претставници на општините кои учествуваат на обуките </w:t>
            </w:r>
            <w:r w:rsidRPr="008B6467">
              <w:rPr>
                <w:b/>
                <w:sz w:val="20"/>
                <w:szCs w:val="20"/>
              </w:rPr>
              <w:t>(61 претставник)</w:t>
            </w:r>
          </w:p>
          <w:p w14:paraId="5BEA9571" w14:textId="77777777" w:rsidR="00A52A9A" w:rsidRPr="008B6467" w:rsidRDefault="00A52A9A" w:rsidP="00A86A0C">
            <w:pPr>
              <w:pStyle w:val="TableContents"/>
              <w:jc w:val="both"/>
              <w:rPr>
                <w:sz w:val="20"/>
                <w:szCs w:val="20"/>
              </w:rPr>
            </w:pPr>
            <w:r w:rsidRPr="008B6467">
              <w:rPr>
                <w:b/>
                <w:sz w:val="20"/>
                <w:szCs w:val="20"/>
              </w:rPr>
              <w:t>Индикаторите се остварени </w:t>
            </w:r>
          </w:p>
        </w:tc>
      </w:tr>
      <w:tr w:rsidR="00A52A9A" w14:paraId="144A32EF"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67A418B4" w14:textId="77777777" w:rsidR="00A52A9A" w:rsidRDefault="00A52A9A" w:rsidP="00A86A0C">
            <w:pPr>
              <w:pStyle w:val="TableContents"/>
              <w:spacing w:after="0"/>
              <w:jc w:val="both"/>
            </w:pPr>
            <w:r>
              <w:rPr>
                <w:b/>
                <w:sz w:val="20"/>
              </w:rPr>
              <w:lastRenderedPageBreak/>
              <w:t xml:space="preserve">1.4.3 Обезбедување на директна поддршка на 30 ЕЛС (преку </w:t>
            </w:r>
            <w:proofErr w:type="spellStart"/>
            <w:r>
              <w:rPr>
                <w:b/>
                <w:sz w:val="20"/>
              </w:rPr>
              <w:t>фасилитатори</w:t>
            </w:r>
            <w:proofErr w:type="spellEnd"/>
            <w:r>
              <w:rPr>
                <w:b/>
                <w:sz w:val="20"/>
              </w:rPr>
              <w:t>) за унапредување на нивната транспарентност и отвореност</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1D54A575" w14:textId="77777777" w:rsidR="00A52A9A" w:rsidRDefault="00A52A9A" w:rsidP="00A86A0C">
            <w:pPr>
              <w:pStyle w:val="TableContents"/>
              <w:jc w:val="both"/>
            </w:pPr>
            <w:r w:rsidRPr="008B6467">
              <w:rPr>
                <w:sz w:val="20"/>
                <w:szCs w:val="20"/>
              </w:rPr>
              <w:t>Број на објавени податочни сетови во отворен формат од 30 ЕЛС (Таргет: 5 податочни сетови од секоја општина) – таргетот е надминат, објавени се по 6 податочни сетови од општина) – над 280 податочни сетови објавени од 50 општини</w:t>
            </w:r>
            <w:r>
              <w:t xml:space="preserve"> </w:t>
            </w:r>
            <w:hyperlink r:id="rId28" w:anchor="_blank" w:history="1">
              <w:r w:rsidRPr="00356237">
                <w:rPr>
                  <w:rStyle w:val="Hyperlink"/>
                  <w:sz w:val="20"/>
                  <w:szCs w:val="20"/>
                </w:rPr>
                <w:t>https://data.gov.mk/organization/</w:t>
              </w:r>
            </w:hyperlink>
          </w:p>
          <w:p w14:paraId="535C3AD7" w14:textId="77777777" w:rsidR="00A52A9A" w:rsidRPr="007D0DCE" w:rsidRDefault="00A52A9A" w:rsidP="00A86A0C">
            <w:pPr>
              <w:pStyle w:val="TableContents"/>
              <w:rPr>
                <w:sz w:val="20"/>
                <w:szCs w:val="20"/>
              </w:rPr>
            </w:pPr>
            <w:r w:rsidRPr="008B6467">
              <w:rPr>
                <w:b/>
                <w:sz w:val="20"/>
                <w:szCs w:val="20"/>
              </w:rPr>
              <w:t>Индикаторите се остварени</w:t>
            </w:r>
          </w:p>
        </w:tc>
      </w:tr>
      <w:tr w:rsidR="00A52A9A" w14:paraId="33C9A7F5"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7D90B2B8" w14:textId="77777777" w:rsidR="00A52A9A" w:rsidRDefault="00A52A9A" w:rsidP="00A86A0C">
            <w:pPr>
              <w:pStyle w:val="TableContents"/>
              <w:jc w:val="center"/>
              <w:rPr>
                <w:b/>
                <w:sz w:val="20"/>
              </w:rPr>
            </w:pPr>
          </w:p>
          <w:p w14:paraId="33252A04" w14:textId="77777777" w:rsidR="00A52A9A" w:rsidRDefault="00A52A9A" w:rsidP="00A86A0C">
            <w:pPr>
              <w:pStyle w:val="TableContents"/>
              <w:jc w:val="center"/>
            </w:pPr>
            <w:r>
              <w:rPr>
                <w:b/>
                <w:sz w:val="20"/>
              </w:rPr>
              <w:t>1.5 Овозможување на бесплатен пристап до податоци за граѓанските организации</w:t>
            </w:r>
          </w:p>
        </w:tc>
      </w:tr>
      <w:tr w:rsidR="00A52A9A" w14:paraId="770BA338"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5A3D26F0"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01.10.2021-31.05.2022</w:t>
            </w:r>
          </w:p>
        </w:tc>
      </w:tr>
      <w:tr w:rsidR="00A52A9A" w14:paraId="5D2119D5"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FFFFFF"/>
          </w:tcPr>
          <w:p w14:paraId="148199FA"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DEEAF6"/>
          </w:tcPr>
          <w:p w14:paraId="4AFCBE66" w14:textId="77777777" w:rsidR="00A52A9A" w:rsidRPr="007D0DCE" w:rsidRDefault="00A52A9A" w:rsidP="00A86A0C">
            <w:pPr>
              <w:pStyle w:val="TableContents"/>
              <w:jc w:val="center"/>
              <w:rPr>
                <w:sz w:val="20"/>
                <w:szCs w:val="20"/>
              </w:rPr>
            </w:pPr>
            <w:r w:rsidRPr="007D0DCE">
              <w:rPr>
                <w:sz w:val="20"/>
                <w:szCs w:val="20"/>
              </w:rPr>
              <w:t>Централен регистар на Република Северна Македонија</w:t>
            </w:r>
          </w:p>
        </w:tc>
      </w:tr>
      <w:tr w:rsidR="00A52A9A" w14:paraId="69786DA5" w14:textId="77777777" w:rsidTr="00A86A0C">
        <w:tblPrEx>
          <w:tblCellMar>
            <w:left w:w="115" w:type="dxa"/>
            <w:right w:w="115" w:type="dxa"/>
          </w:tblCellMar>
        </w:tblPrEx>
        <w:tc>
          <w:tcPr>
            <w:tcW w:w="4039" w:type="dxa"/>
            <w:vMerge w:val="restart"/>
            <w:tcBorders>
              <w:top w:val="single" w:sz="8" w:space="0" w:color="000001"/>
              <w:left w:val="single" w:sz="8" w:space="0" w:color="000001"/>
              <w:right w:val="single" w:sz="8" w:space="0" w:color="000001"/>
            </w:tcBorders>
            <w:shd w:val="clear" w:color="auto" w:fill="FFFFFF"/>
            <w:vAlign w:val="center"/>
          </w:tcPr>
          <w:p w14:paraId="59E8E4DB" w14:textId="77777777" w:rsidR="00A52A9A" w:rsidRDefault="00A52A9A" w:rsidP="00A86A0C">
            <w:pPr>
              <w:pStyle w:val="TableContents"/>
              <w:spacing w:after="0"/>
              <w:jc w:val="center"/>
            </w:pPr>
            <w:r>
              <w:rPr>
                <w:b/>
                <w:sz w:val="20"/>
              </w:rPr>
              <w:t>Статус на реализација на заложбата</w:t>
            </w:r>
          </w:p>
          <w:p w14:paraId="56A095A6"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6999F751"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7"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52B1BB7C" w14:textId="77777777" w:rsidR="00A52A9A" w:rsidRDefault="00A52A9A" w:rsidP="00A86A0C">
            <w:pPr>
              <w:pStyle w:val="TableContents"/>
              <w:jc w:val="center"/>
            </w:pPr>
            <w:r>
              <w:rPr>
                <w:b/>
                <w:color w:val="000000"/>
                <w:sz w:val="18"/>
              </w:rPr>
              <w:t>ограничено</w:t>
            </w:r>
          </w:p>
        </w:tc>
        <w:tc>
          <w:tcPr>
            <w:tcW w:w="1381"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77274D1" w14:textId="77777777" w:rsidR="00A52A9A" w:rsidRDefault="00A52A9A" w:rsidP="00A86A0C">
            <w:pPr>
              <w:pStyle w:val="TableContents"/>
              <w:jc w:val="center"/>
            </w:pPr>
            <w:r>
              <w:rPr>
                <w:b/>
                <w:color w:val="000000"/>
                <w:sz w:val="18"/>
              </w:rPr>
              <w:t>значително</w:t>
            </w: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CF83790" w14:textId="77777777" w:rsidR="00A52A9A" w:rsidRDefault="00A52A9A" w:rsidP="00A86A0C">
            <w:pPr>
              <w:pStyle w:val="TableContents"/>
              <w:jc w:val="center"/>
            </w:pPr>
            <w:r>
              <w:rPr>
                <w:b/>
                <w:color w:val="000000"/>
                <w:sz w:val="18"/>
              </w:rPr>
              <w:t>завршено</w:t>
            </w:r>
          </w:p>
        </w:tc>
      </w:tr>
      <w:tr w:rsidR="00A52A9A" w14:paraId="5C250652" w14:textId="77777777" w:rsidTr="00A86A0C">
        <w:tblPrEx>
          <w:tblCellMar>
            <w:left w:w="115" w:type="dxa"/>
            <w:right w:w="115" w:type="dxa"/>
          </w:tblCellMar>
        </w:tblPrEx>
        <w:tc>
          <w:tcPr>
            <w:tcW w:w="4039" w:type="dxa"/>
            <w:vMerge/>
            <w:tcBorders>
              <w:top w:val="single" w:sz="8" w:space="0" w:color="000001"/>
              <w:left w:val="single" w:sz="8" w:space="0" w:color="000001"/>
              <w:right w:val="single" w:sz="8" w:space="0" w:color="000001"/>
            </w:tcBorders>
            <w:shd w:val="clear" w:color="auto" w:fill="FFFFFF"/>
            <w:vAlign w:val="center"/>
          </w:tcPr>
          <w:p w14:paraId="4C134714"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A9AB8F0" w14:textId="77777777" w:rsidR="00A52A9A" w:rsidRDefault="00A52A9A" w:rsidP="00A86A0C">
            <w:pPr>
              <w:pStyle w:val="TableContents"/>
              <w:jc w:val="both"/>
            </w:pPr>
          </w:p>
        </w:tc>
        <w:tc>
          <w:tcPr>
            <w:tcW w:w="1367"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3CB58D87" w14:textId="77777777" w:rsidR="00A52A9A" w:rsidRDefault="00A52A9A" w:rsidP="00A86A0C">
            <w:pPr>
              <w:pStyle w:val="TableContents"/>
              <w:jc w:val="both"/>
            </w:pPr>
          </w:p>
        </w:tc>
        <w:tc>
          <w:tcPr>
            <w:tcW w:w="1381"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1C0352AE" w14:textId="77777777" w:rsidR="00A52A9A" w:rsidRDefault="00A52A9A" w:rsidP="00A86A0C">
            <w:pPr>
              <w:pStyle w:val="TableContents"/>
              <w:jc w:val="both"/>
            </w:pP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687A07F" w14:textId="77777777" w:rsidR="00A52A9A" w:rsidRDefault="00A52A9A" w:rsidP="00A86A0C">
            <w:pPr>
              <w:pStyle w:val="TableContents"/>
              <w:jc w:val="both"/>
            </w:pPr>
          </w:p>
        </w:tc>
      </w:tr>
      <w:tr w:rsidR="00A52A9A" w14:paraId="24C9C13F"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BDD6EE"/>
          </w:tcPr>
          <w:p w14:paraId="13705DFF" w14:textId="77777777" w:rsidR="00A52A9A" w:rsidRDefault="00A52A9A" w:rsidP="00A86A0C">
            <w:pPr>
              <w:pStyle w:val="TableContents"/>
              <w:jc w:val="center"/>
            </w:pPr>
            <w:r>
              <w:rPr>
                <w:b/>
                <w:sz w:val="20"/>
              </w:rPr>
              <w:t>Достигнувања</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BDD6EE"/>
          </w:tcPr>
          <w:p w14:paraId="58D2A9D2"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0CC392BC"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6B074D33" w14:textId="77777777" w:rsidR="00A52A9A" w:rsidRDefault="00A52A9A" w:rsidP="00A86A0C">
            <w:pPr>
              <w:pStyle w:val="TableContents"/>
              <w:spacing w:after="0"/>
              <w:jc w:val="both"/>
            </w:pPr>
            <w:r>
              <w:rPr>
                <w:b/>
                <w:sz w:val="20"/>
              </w:rPr>
              <w:t xml:space="preserve">1.5.1 Објава на податоци за граѓанските организации во отворен формат на порталот на Централен регистар, владиниот портал за отворени податоци </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12298A07" w14:textId="77777777" w:rsidR="00A52A9A" w:rsidRPr="008B6467" w:rsidRDefault="00A52A9A" w:rsidP="00A86A0C">
            <w:pPr>
              <w:pStyle w:val="TableContents"/>
              <w:jc w:val="both"/>
              <w:rPr>
                <w:sz w:val="20"/>
                <w:szCs w:val="20"/>
              </w:rPr>
            </w:pPr>
            <w:r w:rsidRPr="008B6467">
              <w:rPr>
                <w:sz w:val="20"/>
                <w:szCs w:val="20"/>
              </w:rPr>
              <w:t>Објавени се податоци за граѓанските организации во отворен формат на порталот на Централен регистар. Бројот на регистрирани здруженија според Централен регистер со состојба од 20.2.2022 г. е 14260.</w:t>
            </w:r>
          </w:p>
          <w:p w14:paraId="5EA0E29E" w14:textId="77777777" w:rsidR="00A52A9A" w:rsidRPr="008B6467" w:rsidRDefault="00A52A9A" w:rsidP="00A86A0C">
            <w:pPr>
              <w:pStyle w:val="TableContents"/>
              <w:jc w:val="both"/>
              <w:rPr>
                <w:sz w:val="20"/>
                <w:szCs w:val="20"/>
              </w:rPr>
            </w:pPr>
            <w:r w:rsidRPr="008B6467">
              <w:rPr>
                <w:sz w:val="20"/>
                <w:szCs w:val="20"/>
              </w:rPr>
              <w:t>Објавени се податоци за граѓанските организации во отворен формат на владиниот портал за отворени податоци.</w:t>
            </w:r>
          </w:p>
          <w:p w14:paraId="5D22AA74" w14:textId="77777777" w:rsidR="00A52A9A" w:rsidRPr="008B6467" w:rsidRDefault="00A52A9A" w:rsidP="00A86A0C">
            <w:pPr>
              <w:pStyle w:val="TableContents"/>
              <w:jc w:val="both"/>
              <w:rPr>
                <w:sz w:val="20"/>
                <w:szCs w:val="20"/>
              </w:rPr>
            </w:pPr>
            <w:r w:rsidRPr="008B6467">
              <w:rPr>
                <w:sz w:val="20"/>
                <w:szCs w:val="20"/>
              </w:rPr>
              <w:t>Број на преземања на отворените податоци од:</w:t>
            </w:r>
          </w:p>
          <w:p w14:paraId="15F202EE" w14:textId="77777777" w:rsidR="00A52A9A" w:rsidRPr="008B6467" w:rsidRDefault="00A52A9A" w:rsidP="00A52A9A">
            <w:pPr>
              <w:pStyle w:val="TableContents"/>
              <w:numPr>
                <w:ilvl w:val="0"/>
                <w:numId w:val="2"/>
              </w:numPr>
              <w:tabs>
                <w:tab w:val="left" w:pos="707"/>
              </w:tabs>
              <w:spacing w:after="0"/>
              <w:jc w:val="both"/>
              <w:rPr>
                <w:sz w:val="20"/>
                <w:szCs w:val="20"/>
              </w:rPr>
            </w:pPr>
            <w:r w:rsidRPr="008B6467">
              <w:rPr>
                <w:sz w:val="20"/>
                <w:szCs w:val="20"/>
              </w:rPr>
              <w:t xml:space="preserve">порталот на ЦР: 954 до 7.12.2022 г. </w:t>
            </w:r>
          </w:p>
          <w:p w14:paraId="00670F53" w14:textId="77777777" w:rsidR="00A52A9A" w:rsidRPr="007D0DCE" w:rsidRDefault="00A52A9A" w:rsidP="00A52A9A">
            <w:pPr>
              <w:pStyle w:val="TableContents"/>
              <w:numPr>
                <w:ilvl w:val="0"/>
                <w:numId w:val="2"/>
              </w:numPr>
              <w:tabs>
                <w:tab w:val="left" w:pos="707"/>
              </w:tabs>
              <w:jc w:val="both"/>
              <w:rPr>
                <w:sz w:val="20"/>
                <w:szCs w:val="20"/>
              </w:rPr>
            </w:pPr>
            <w:r w:rsidRPr="008B6467">
              <w:rPr>
                <w:sz w:val="20"/>
                <w:szCs w:val="20"/>
              </w:rPr>
              <w:t xml:space="preserve">владиниот портал за отворени податоци: 13 до 7.12.2022 г. </w:t>
            </w:r>
          </w:p>
        </w:tc>
      </w:tr>
      <w:tr w:rsidR="00A52A9A" w14:paraId="6D07355B"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45E0F6E3" w14:textId="77777777" w:rsidR="00A52A9A" w:rsidRDefault="00A52A9A" w:rsidP="00A86A0C">
            <w:pPr>
              <w:pStyle w:val="TableContents"/>
              <w:spacing w:after="0"/>
              <w:jc w:val="both"/>
            </w:pPr>
            <w:r>
              <w:rPr>
                <w:b/>
                <w:sz w:val="20"/>
              </w:rPr>
              <w:t>1.5.2 Редовно ажурирање на отворените податоци од претходната точка</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626C3A58" w14:textId="77777777" w:rsidR="00A52A9A" w:rsidRPr="007D0DCE" w:rsidRDefault="00A52A9A" w:rsidP="00A86A0C">
            <w:pPr>
              <w:pStyle w:val="TableContents"/>
              <w:jc w:val="both"/>
              <w:rPr>
                <w:sz w:val="20"/>
                <w:szCs w:val="20"/>
              </w:rPr>
            </w:pPr>
            <w:r w:rsidRPr="008B6467">
              <w:rPr>
                <w:sz w:val="20"/>
                <w:szCs w:val="20"/>
              </w:rPr>
              <w:t>Редовно се ажурираат отворените податоци на порталот на ЦР. Фреквенција на ажурирање на отворените податоци: на секои 2 седмици.</w:t>
            </w:r>
          </w:p>
        </w:tc>
      </w:tr>
      <w:tr w:rsidR="00A52A9A" w14:paraId="095133A9"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4896D9C5" w14:textId="77777777" w:rsidR="00A52A9A" w:rsidRDefault="00A52A9A" w:rsidP="00A86A0C">
            <w:pPr>
              <w:pStyle w:val="TableContents"/>
              <w:spacing w:after="0"/>
              <w:jc w:val="both"/>
            </w:pPr>
            <w:r>
              <w:rPr>
                <w:b/>
                <w:sz w:val="20"/>
              </w:rPr>
              <w:lastRenderedPageBreak/>
              <w:t>1.5.3 Креирање на работна група за утврдување на влезни критериуми и излезните податоци граѓанските организации што ќе ги содржат динамичките извештаи</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5E2D4231" w14:textId="77777777" w:rsidR="00A52A9A" w:rsidRPr="007D0DCE" w:rsidRDefault="00A52A9A" w:rsidP="00A86A0C">
            <w:pPr>
              <w:pStyle w:val="TableContents"/>
              <w:jc w:val="both"/>
              <w:rPr>
                <w:sz w:val="20"/>
                <w:szCs w:val="20"/>
              </w:rPr>
            </w:pPr>
            <w:r w:rsidRPr="008B6467">
              <w:rPr>
                <w:sz w:val="20"/>
                <w:szCs w:val="20"/>
              </w:rPr>
              <w:t>Утврдени се критериумите за пребарување и излезните податоци (содржината на динамичките извештаи).</w:t>
            </w:r>
          </w:p>
        </w:tc>
      </w:tr>
      <w:tr w:rsidR="00A52A9A" w14:paraId="4FE1F025"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0B37966A" w14:textId="77777777" w:rsidR="00A52A9A" w:rsidRDefault="00A52A9A" w:rsidP="00A86A0C">
            <w:pPr>
              <w:pStyle w:val="TableContents"/>
              <w:spacing w:after="0"/>
              <w:jc w:val="both"/>
            </w:pPr>
            <w:r>
              <w:rPr>
                <w:b/>
                <w:sz w:val="20"/>
              </w:rPr>
              <w:t>1.5.4 Овозможување на пристап до динамички извештаи со прилагодливи податоци за граѓанските организации за корисниците на буџетот (централна и локална власт)</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6E9226F0" w14:textId="77777777" w:rsidR="00A52A9A" w:rsidRPr="008B6467" w:rsidRDefault="00A52A9A" w:rsidP="00A86A0C">
            <w:pPr>
              <w:pStyle w:val="TableContents"/>
              <w:jc w:val="both"/>
              <w:rPr>
                <w:sz w:val="20"/>
                <w:szCs w:val="20"/>
              </w:rPr>
            </w:pPr>
            <w:r w:rsidRPr="008B6467">
              <w:rPr>
                <w:sz w:val="20"/>
                <w:szCs w:val="20"/>
              </w:rPr>
              <w:t>Овозможен е пристап до динамички извештаи со прилагодливи податоци за граѓанските организации за корисниците на буџетот (централна и локална власт).</w:t>
            </w:r>
          </w:p>
          <w:p w14:paraId="77ECBB7F" w14:textId="77777777" w:rsidR="00A52A9A" w:rsidRPr="008B6467" w:rsidRDefault="00A52A9A" w:rsidP="00A86A0C">
            <w:pPr>
              <w:pStyle w:val="TableContents"/>
              <w:jc w:val="both"/>
              <w:rPr>
                <w:sz w:val="20"/>
                <w:szCs w:val="20"/>
              </w:rPr>
            </w:pPr>
            <w:r w:rsidRPr="008B6467">
              <w:rPr>
                <w:sz w:val="20"/>
                <w:szCs w:val="20"/>
              </w:rPr>
              <w:t>Развојот е завршен во јуни 2022, интерното тестирање и отстранување на грешки е завршено во месец август 2022. Динамичките извештаи се поставени на продукциска околина во октомври 2022 и се спремни за користење, по барање од корисниците на буџетот (централна и локална власт).</w:t>
            </w:r>
          </w:p>
        </w:tc>
      </w:tr>
      <w:tr w:rsidR="00A52A9A" w14:paraId="07AECA82"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29C6A2C5" w14:textId="77777777" w:rsidR="00A52A9A" w:rsidRDefault="00A52A9A" w:rsidP="00A86A0C">
            <w:pPr>
              <w:pStyle w:val="TableContents"/>
              <w:spacing w:after="0"/>
              <w:jc w:val="both"/>
            </w:pPr>
            <w:r>
              <w:rPr>
                <w:b/>
                <w:sz w:val="20"/>
              </w:rPr>
              <w:t>1.5.5 Обука и писмени инструкции за корисниците на буџетот (централна и локална власт) за користење на динамичките извештаи</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445F258D" w14:textId="77777777" w:rsidR="00A52A9A" w:rsidRPr="008B6467" w:rsidRDefault="00A52A9A" w:rsidP="00A86A0C">
            <w:pPr>
              <w:pStyle w:val="TableContents"/>
              <w:jc w:val="both"/>
              <w:rPr>
                <w:sz w:val="20"/>
                <w:szCs w:val="20"/>
              </w:rPr>
            </w:pPr>
            <w:r w:rsidRPr="008B6467">
              <w:rPr>
                <w:sz w:val="20"/>
                <w:szCs w:val="20"/>
              </w:rPr>
              <w:t>Организирана и извршена обука на 29.9. Број на поканети службеници: 38 од 18 државни органи на централно ниво. Број на службеници учесници на обуката: 9 од 5 државни органи на централно ниво.</w:t>
            </w:r>
          </w:p>
          <w:p w14:paraId="11305EBA" w14:textId="77777777" w:rsidR="00A52A9A" w:rsidRPr="008B6467" w:rsidRDefault="00A52A9A" w:rsidP="00A86A0C">
            <w:pPr>
              <w:pStyle w:val="TableContents"/>
              <w:jc w:val="both"/>
              <w:rPr>
                <w:sz w:val="20"/>
                <w:szCs w:val="20"/>
              </w:rPr>
            </w:pPr>
            <w:r w:rsidRPr="008B6467">
              <w:rPr>
                <w:sz w:val="20"/>
                <w:szCs w:val="20"/>
              </w:rPr>
              <w:t>Се планира обука за службеници од локална власт.</w:t>
            </w:r>
          </w:p>
        </w:tc>
      </w:tr>
      <w:tr w:rsidR="00A52A9A" w14:paraId="02513A7A"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579B94E6" w14:textId="77777777" w:rsidR="00A52A9A" w:rsidRDefault="00A52A9A" w:rsidP="00A86A0C">
            <w:pPr>
              <w:pStyle w:val="TableContents"/>
              <w:spacing w:after="0"/>
              <w:jc w:val="both"/>
            </w:pPr>
            <w:r>
              <w:rPr>
                <w:b/>
                <w:sz w:val="20"/>
              </w:rPr>
              <w:t>1.5.6 Користење на динамичките извештаи за граѓанските организации</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06AC13D3" w14:textId="77777777" w:rsidR="00A52A9A" w:rsidRDefault="00A52A9A" w:rsidP="00A86A0C">
            <w:pPr>
              <w:pStyle w:val="TableContents"/>
              <w:jc w:val="both"/>
              <w:rPr>
                <w:sz w:val="20"/>
                <w:szCs w:val="20"/>
              </w:rPr>
            </w:pPr>
            <w:r w:rsidRPr="008B6467">
              <w:rPr>
                <w:sz w:val="20"/>
                <w:szCs w:val="20"/>
              </w:rPr>
              <w:t>Сеуште нема користење на динамичките извештаи со податоци за граѓанските организации.</w:t>
            </w:r>
          </w:p>
          <w:p w14:paraId="12813815" w14:textId="77777777" w:rsidR="00A52A9A" w:rsidRPr="008B6467" w:rsidRDefault="00A52A9A" w:rsidP="00A86A0C">
            <w:pPr>
              <w:pStyle w:val="TableContents"/>
              <w:jc w:val="both"/>
              <w:rPr>
                <w:sz w:val="20"/>
                <w:szCs w:val="20"/>
              </w:rPr>
            </w:pPr>
          </w:p>
        </w:tc>
      </w:tr>
      <w:tr w:rsidR="00A52A9A" w14:paraId="1B5BBE69"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013CFA52" w14:textId="77777777" w:rsidR="00A52A9A" w:rsidRDefault="00A52A9A" w:rsidP="00A86A0C">
            <w:pPr>
              <w:pStyle w:val="TableContents"/>
              <w:jc w:val="center"/>
            </w:pPr>
            <w:r>
              <w:rPr>
                <w:b/>
                <w:sz w:val="20"/>
              </w:rPr>
              <w:t>1.6 Фискална транспарентност и отчетност на локално ниво и подобрување на вклученоста на граѓаните преку иновативни механизми и алатки</w:t>
            </w:r>
          </w:p>
        </w:tc>
      </w:tr>
      <w:tr w:rsidR="00A52A9A" w14:paraId="283AAAA8"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29A48979"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01.10.2021-30.09.2023</w:t>
            </w:r>
          </w:p>
        </w:tc>
      </w:tr>
      <w:tr w:rsidR="00A52A9A" w14:paraId="6F7FCBB4"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FFFFFF"/>
          </w:tcPr>
          <w:p w14:paraId="6DB1B9FF"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DEEAF6"/>
          </w:tcPr>
          <w:p w14:paraId="56394E5B" w14:textId="77777777" w:rsidR="00A52A9A" w:rsidRPr="00142F34" w:rsidRDefault="00A52A9A" w:rsidP="00A86A0C">
            <w:pPr>
              <w:pStyle w:val="TableContents"/>
              <w:jc w:val="center"/>
              <w:rPr>
                <w:sz w:val="20"/>
                <w:szCs w:val="20"/>
              </w:rPr>
            </w:pPr>
            <w:r w:rsidRPr="00142F34">
              <w:rPr>
                <w:sz w:val="20"/>
                <w:szCs w:val="20"/>
              </w:rPr>
              <w:t>Министерство за локална самоуправа</w:t>
            </w:r>
          </w:p>
        </w:tc>
      </w:tr>
      <w:tr w:rsidR="00A52A9A" w14:paraId="256D2178" w14:textId="77777777" w:rsidTr="00A86A0C">
        <w:tblPrEx>
          <w:tblCellMar>
            <w:left w:w="115" w:type="dxa"/>
            <w:right w:w="115" w:type="dxa"/>
          </w:tblCellMar>
        </w:tblPrEx>
        <w:tc>
          <w:tcPr>
            <w:tcW w:w="4039" w:type="dxa"/>
            <w:vMerge w:val="restart"/>
            <w:tcBorders>
              <w:top w:val="single" w:sz="8" w:space="0" w:color="000001"/>
              <w:left w:val="single" w:sz="8" w:space="0" w:color="000001"/>
              <w:right w:val="single" w:sz="8" w:space="0" w:color="000001"/>
            </w:tcBorders>
            <w:shd w:val="clear" w:color="auto" w:fill="FFFFFF"/>
            <w:vAlign w:val="center"/>
          </w:tcPr>
          <w:p w14:paraId="14B69FA5" w14:textId="77777777" w:rsidR="00A52A9A" w:rsidRDefault="00A52A9A" w:rsidP="00A86A0C">
            <w:pPr>
              <w:pStyle w:val="TableContents"/>
              <w:spacing w:after="0"/>
              <w:jc w:val="center"/>
            </w:pPr>
            <w:r>
              <w:rPr>
                <w:b/>
                <w:sz w:val="20"/>
              </w:rPr>
              <w:t>Статус на реализација на заложбата</w:t>
            </w:r>
          </w:p>
          <w:p w14:paraId="3D173C1B"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3F69B65E"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7"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558616D4" w14:textId="77777777" w:rsidR="00A52A9A" w:rsidRDefault="00A52A9A" w:rsidP="00A86A0C">
            <w:pPr>
              <w:pStyle w:val="TableContents"/>
              <w:jc w:val="center"/>
            </w:pPr>
            <w:r>
              <w:rPr>
                <w:b/>
                <w:color w:val="000000"/>
                <w:sz w:val="18"/>
              </w:rPr>
              <w:t>ограничено</w:t>
            </w:r>
          </w:p>
        </w:tc>
        <w:tc>
          <w:tcPr>
            <w:tcW w:w="1381"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426A553" w14:textId="77777777" w:rsidR="00A52A9A" w:rsidRDefault="00A52A9A" w:rsidP="00A86A0C">
            <w:pPr>
              <w:pStyle w:val="TableContents"/>
              <w:jc w:val="center"/>
            </w:pPr>
            <w:r>
              <w:rPr>
                <w:b/>
                <w:color w:val="000000"/>
                <w:sz w:val="18"/>
              </w:rPr>
              <w:t>значително</w:t>
            </w: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9A1209E" w14:textId="77777777" w:rsidR="00A52A9A" w:rsidRDefault="00A52A9A" w:rsidP="00A86A0C">
            <w:pPr>
              <w:pStyle w:val="TableContents"/>
              <w:jc w:val="center"/>
            </w:pPr>
            <w:r>
              <w:rPr>
                <w:b/>
                <w:color w:val="000000"/>
                <w:sz w:val="18"/>
              </w:rPr>
              <w:t>завршено</w:t>
            </w:r>
          </w:p>
        </w:tc>
      </w:tr>
      <w:tr w:rsidR="00A52A9A" w14:paraId="7CD0A14E" w14:textId="77777777" w:rsidTr="00A86A0C">
        <w:tblPrEx>
          <w:tblCellMar>
            <w:left w:w="115" w:type="dxa"/>
            <w:right w:w="115" w:type="dxa"/>
          </w:tblCellMar>
        </w:tblPrEx>
        <w:tc>
          <w:tcPr>
            <w:tcW w:w="4039" w:type="dxa"/>
            <w:vMerge/>
            <w:tcBorders>
              <w:top w:val="single" w:sz="8" w:space="0" w:color="000001"/>
              <w:left w:val="single" w:sz="8" w:space="0" w:color="000001"/>
              <w:right w:val="single" w:sz="8" w:space="0" w:color="000001"/>
            </w:tcBorders>
            <w:shd w:val="clear" w:color="auto" w:fill="FFFFFF"/>
            <w:vAlign w:val="center"/>
          </w:tcPr>
          <w:p w14:paraId="66A9CACA"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AD58B31" w14:textId="77777777" w:rsidR="00A52A9A" w:rsidRDefault="00A52A9A" w:rsidP="00A86A0C">
            <w:pPr>
              <w:pStyle w:val="TableContents"/>
              <w:jc w:val="both"/>
            </w:pPr>
          </w:p>
        </w:tc>
        <w:tc>
          <w:tcPr>
            <w:tcW w:w="1367"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0D49882F" w14:textId="77777777" w:rsidR="00A52A9A" w:rsidRDefault="00A52A9A" w:rsidP="00A86A0C">
            <w:pPr>
              <w:pStyle w:val="TableContents"/>
              <w:jc w:val="both"/>
            </w:pPr>
          </w:p>
        </w:tc>
        <w:tc>
          <w:tcPr>
            <w:tcW w:w="1381"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58FA1B16" w14:textId="77777777" w:rsidR="00A52A9A" w:rsidRDefault="00A52A9A" w:rsidP="00A86A0C">
            <w:pPr>
              <w:pStyle w:val="TableContents"/>
              <w:jc w:val="both"/>
            </w:pP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DEDF4AF" w14:textId="77777777" w:rsidR="00A52A9A" w:rsidRDefault="00A52A9A" w:rsidP="00A86A0C">
            <w:pPr>
              <w:pStyle w:val="TableContents"/>
              <w:jc w:val="both"/>
            </w:pPr>
          </w:p>
        </w:tc>
      </w:tr>
      <w:tr w:rsidR="00A52A9A" w14:paraId="2CFC14CD"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BDD6EE"/>
          </w:tcPr>
          <w:p w14:paraId="6AC93554" w14:textId="77777777" w:rsidR="00A52A9A" w:rsidRDefault="00A52A9A" w:rsidP="00A86A0C">
            <w:pPr>
              <w:pStyle w:val="TableContents"/>
              <w:jc w:val="center"/>
            </w:pPr>
            <w:r>
              <w:rPr>
                <w:b/>
                <w:sz w:val="20"/>
              </w:rPr>
              <w:t>Достигнувања</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BDD6EE"/>
          </w:tcPr>
          <w:p w14:paraId="440FCB6E"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5257C2CA"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5DB6CE25" w14:textId="77777777" w:rsidR="00A52A9A" w:rsidRDefault="00A52A9A" w:rsidP="00A86A0C">
            <w:pPr>
              <w:pStyle w:val="TableContents"/>
              <w:spacing w:after="0"/>
              <w:jc w:val="both"/>
            </w:pPr>
            <w:r>
              <w:rPr>
                <w:b/>
                <w:sz w:val="20"/>
              </w:rPr>
              <w:t xml:space="preserve">1.6.1 Воспоставување и ставање во функција на електронски табли во 20 општини на кои автоматски ќе бидат </w:t>
            </w:r>
            <w:r>
              <w:rPr>
                <w:b/>
                <w:sz w:val="20"/>
              </w:rPr>
              <w:lastRenderedPageBreak/>
              <w:t xml:space="preserve">објавувани </w:t>
            </w:r>
            <w:proofErr w:type="spellStart"/>
            <w:r>
              <w:rPr>
                <w:b/>
                <w:sz w:val="20"/>
              </w:rPr>
              <w:t>кварталните</w:t>
            </w:r>
            <w:proofErr w:type="spellEnd"/>
            <w:r>
              <w:rPr>
                <w:b/>
                <w:sz w:val="20"/>
              </w:rPr>
              <w:t xml:space="preserve"> извештаи за реализација на Буџетот на општината, обработени на разбирлив начин и пристапни за граѓаните</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490F3AD5" w14:textId="77777777" w:rsidR="00A52A9A" w:rsidRPr="008B6467" w:rsidRDefault="00A52A9A" w:rsidP="00A86A0C">
            <w:pPr>
              <w:pStyle w:val="TableContents"/>
              <w:jc w:val="both"/>
              <w:rPr>
                <w:sz w:val="20"/>
                <w:szCs w:val="20"/>
              </w:rPr>
            </w:pPr>
            <w:r w:rsidRPr="008B6467">
              <w:rPr>
                <w:sz w:val="20"/>
                <w:szCs w:val="20"/>
              </w:rPr>
              <w:lastRenderedPageBreak/>
              <w:t xml:space="preserve">Вкупно 16 единици на локалната самоуправа (Илинден, Дебар, Василево, Дојран, Виница, Ресен, Кисела Вода, Аеродром, Градско, Град Скопје, Крива </w:t>
            </w:r>
            <w:r w:rsidRPr="008B6467">
              <w:rPr>
                <w:sz w:val="20"/>
                <w:szCs w:val="20"/>
              </w:rPr>
              <w:lastRenderedPageBreak/>
              <w:t>Паланка, Македонски Брод, Босилово, Старо Нагоричане, Радовиш и Пробиштип) започнаа да ги објавуваат финансиските извештаи за реализација на буџетот на контролната табла со финансиски индикатори (www.indikatori.opstinskisoveti.mk), и во наредниот период се очекува истите општини да ги постават електронските табли (веб банери) на своите официјални веб страни.</w:t>
            </w:r>
          </w:p>
          <w:p w14:paraId="6850CB9A" w14:textId="77777777" w:rsidR="00A52A9A" w:rsidRPr="008B6467" w:rsidRDefault="00A52A9A" w:rsidP="00A86A0C">
            <w:pPr>
              <w:pStyle w:val="TableContents"/>
              <w:jc w:val="both"/>
              <w:rPr>
                <w:sz w:val="20"/>
                <w:szCs w:val="20"/>
              </w:rPr>
            </w:pPr>
            <w:r w:rsidRPr="008B6467">
              <w:rPr>
                <w:sz w:val="20"/>
                <w:szCs w:val="20"/>
              </w:rPr>
              <w:t>Вклучително со 24-те ЕЛС (Велес, Охрид, Свети Николе, Чаир, Валандово, Струмица, Желино, Куманово, Центар, Брвеница, Струга, Могила, Кавадарци, Кочани, Гостивар, Тетово, Ѓорче Петров, Чашка, Битола, Богданци, Вевчани, Берово, Зрновци и Крушево) кои претходно ги воспоставија електронските табли со финансиски податоци, досега вкупно 40 ЕЛС ги објавуваат финансиските извештаи на веб платформата (контролната табла).</w:t>
            </w:r>
          </w:p>
          <w:p w14:paraId="7E9FC50F" w14:textId="77777777" w:rsidR="00A52A9A" w:rsidRPr="008B6467" w:rsidRDefault="00A52A9A" w:rsidP="00A86A0C">
            <w:pPr>
              <w:pStyle w:val="TableContents"/>
              <w:jc w:val="both"/>
              <w:rPr>
                <w:sz w:val="20"/>
                <w:szCs w:val="20"/>
                <w:lang w:val="en-US"/>
              </w:rPr>
            </w:pPr>
            <w:r w:rsidRPr="008B6467">
              <w:rPr>
                <w:sz w:val="20"/>
                <w:szCs w:val="20"/>
              </w:rPr>
              <w:t>Во моментот, во тек е интеграција на електронските контролни табли во дополнителни 8 општини (Карпош, Арачиново, Боговиње, Дебрца, Прилеп, Неготино, Ново Село и Штип) со што, до крајот на годината, електронските табли ќе бидат воспоставени во дополнителни 24 општини</w:t>
            </w:r>
            <w:r>
              <w:rPr>
                <w:sz w:val="20"/>
                <w:szCs w:val="20"/>
                <w:lang w:val="en-US"/>
              </w:rPr>
              <w:t>.</w:t>
            </w:r>
          </w:p>
        </w:tc>
      </w:tr>
      <w:tr w:rsidR="00A52A9A" w14:paraId="7BB5D52D"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0BD8A06B" w14:textId="77777777" w:rsidR="00A52A9A" w:rsidRDefault="00A52A9A" w:rsidP="00A86A0C">
            <w:pPr>
              <w:pStyle w:val="TableContents"/>
              <w:spacing w:after="0"/>
              <w:jc w:val="both"/>
            </w:pPr>
            <w:r>
              <w:rPr>
                <w:b/>
                <w:sz w:val="20"/>
              </w:rPr>
              <w:lastRenderedPageBreak/>
              <w:t>1.6.2 Креирање и воспоставување на иновативни алатки за полесен пристап до информации и поттикнување на вклученоста на граѓаните во 20 општини</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108EE4F8" w14:textId="77777777" w:rsidR="00A52A9A" w:rsidRPr="008B6467" w:rsidRDefault="00A52A9A" w:rsidP="00A86A0C">
            <w:pPr>
              <w:pStyle w:val="TableContents"/>
              <w:jc w:val="both"/>
              <w:rPr>
                <w:sz w:val="20"/>
                <w:szCs w:val="20"/>
              </w:rPr>
            </w:pPr>
            <w:r w:rsidRPr="008B6467">
              <w:rPr>
                <w:sz w:val="20"/>
                <w:szCs w:val="20"/>
              </w:rPr>
              <w:t>Во моментот, во тек е јавен повик за избор на првите 10 општини кои ќе бидат дел од проектот преку кој ќе се  воспостават  иновативни алатки за полесен пристап до информации и поттикнување на вклученоста на граѓаните. Општините ќе бидат селектирани во текот на месец август, а реализацијата на активностите поврзани со воведувањето на иновативни алатки во овие општини ќе започне во месец септември.</w:t>
            </w:r>
          </w:p>
          <w:p w14:paraId="54F2A521" w14:textId="77777777" w:rsidR="00A52A9A" w:rsidRPr="008B6467" w:rsidRDefault="00A52A9A" w:rsidP="00A86A0C">
            <w:pPr>
              <w:pStyle w:val="TableContents"/>
              <w:jc w:val="both"/>
              <w:rPr>
                <w:lang w:val="en-US"/>
              </w:rPr>
            </w:pPr>
            <w:r w:rsidRPr="008B6467">
              <w:rPr>
                <w:sz w:val="20"/>
                <w:szCs w:val="20"/>
              </w:rPr>
              <w:t>Во моментот, во тек е постапка за креирање и воспоставување на иновативни алатки за полесен пристап до информации и поттикнување на вклученоста на граѓаните во 10 општини</w:t>
            </w:r>
            <w:r>
              <w:rPr>
                <w:sz w:val="20"/>
                <w:szCs w:val="20"/>
                <w:lang w:val="en-US"/>
              </w:rPr>
              <w:t>.</w:t>
            </w:r>
          </w:p>
        </w:tc>
      </w:tr>
      <w:tr w:rsidR="00A52A9A" w14:paraId="747EB623" w14:textId="77777777" w:rsidTr="00A86A0C">
        <w:tc>
          <w:tcPr>
            <w:tcW w:w="4039" w:type="dxa"/>
            <w:tcBorders>
              <w:top w:val="single" w:sz="8" w:space="0" w:color="000001"/>
              <w:left w:val="single" w:sz="8" w:space="0" w:color="000001"/>
              <w:bottom w:val="single" w:sz="8" w:space="0" w:color="000001"/>
              <w:right w:val="single" w:sz="8" w:space="0" w:color="000001"/>
            </w:tcBorders>
            <w:shd w:val="clear" w:color="auto" w:fill="DEEAF6"/>
          </w:tcPr>
          <w:p w14:paraId="09C018A9" w14:textId="77777777" w:rsidR="00A52A9A" w:rsidRDefault="00A52A9A" w:rsidP="00A86A0C">
            <w:pPr>
              <w:pStyle w:val="TableContents"/>
              <w:spacing w:after="0"/>
              <w:jc w:val="both"/>
            </w:pPr>
            <w:r>
              <w:rPr>
                <w:b/>
                <w:sz w:val="20"/>
              </w:rPr>
              <w:t xml:space="preserve">1.6.3 Воспоставување на механизам за учество на граѓаните во донесувањето на одлуките и дефинирањето на </w:t>
            </w:r>
            <w:r>
              <w:rPr>
                <w:b/>
                <w:sz w:val="20"/>
              </w:rPr>
              <w:lastRenderedPageBreak/>
              <w:t>локалните приоритети, преку соодветна претставеност со акцент на ранливите и маргинализирани групи, во 20 општини</w:t>
            </w:r>
          </w:p>
        </w:tc>
        <w:tc>
          <w:tcPr>
            <w:tcW w:w="5306"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297EC1DE" w14:textId="77777777" w:rsidR="00A52A9A" w:rsidRPr="008B6467" w:rsidRDefault="00A52A9A" w:rsidP="00A86A0C">
            <w:pPr>
              <w:pStyle w:val="TableContents"/>
              <w:jc w:val="both"/>
              <w:rPr>
                <w:sz w:val="20"/>
                <w:szCs w:val="20"/>
              </w:rPr>
            </w:pPr>
            <w:r w:rsidRPr="008B6467">
              <w:rPr>
                <w:sz w:val="20"/>
                <w:szCs w:val="20"/>
              </w:rPr>
              <w:lastRenderedPageBreak/>
              <w:t xml:space="preserve">Во моментот, во тек е јавен повик за избор на првите 10 општини кои ќе бидат дел од проектот преку кој ќе се  воспостават  механизми за учество на граѓаните во </w:t>
            </w:r>
            <w:r w:rsidRPr="008B6467">
              <w:rPr>
                <w:sz w:val="20"/>
                <w:szCs w:val="20"/>
              </w:rPr>
              <w:lastRenderedPageBreak/>
              <w:t>донесувањето  одлуки и дефинирањето на локалните приоритети. Општините ќе бидат селектирани во текот на месец август, а реализацијата на активностите поврзани со воведувањето на механизми за учество на граѓаните во донесувањето  одлуки во овие општини ќе започне кон крајот на 2022/почетокот на 2023.</w:t>
            </w:r>
          </w:p>
          <w:p w14:paraId="7EE03D82" w14:textId="77777777" w:rsidR="00A52A9A" w:rsidRPr="008B6467" w:rsidRDefault="00A52A9A" w:rsidP="00A86A0C">
            <w:pPr>
              <w:pStyle w:val="TableContents"/>
              <w:jc w:val="both"/>
              <w:rPr>
                <w:sz w:val="20"/>
                <w:szCs w:val="20"/>
              </w:rPr>
            </w:pPr>
          </w:p>
          <w:p w14:paraId="7BA49896" w14:textId="77777777" w:rsidR="00A52A9A" w:rsidRPr="00142F34" w:rsidRDefault="00A52A9A" w:rsidP="00A86A0C">
            <w:pPr>
              <w:pStyle w:val="TableContents"/>
              <w:jc w:val="both"/>
              <w:rPr>
                <w:sz w:val="20"/>
                <w:szCs w:val="20"/>
              </w:rPr>
            </w:pPr>
            <w:r w:rsidRPr="008B6467">
              <w:rPr>
                <w:sz w:val="20"/>
                <w:szCs w:val="20"/>
              </w:rPr>
              <w:t>Во моментот, започнати се иницијални активности за воспоставување на механизам за учество на граѓаните во донесувањето на одлуките и дефинирањето на локалните приоритети во 10 избрани општини. Механизмите за учество во овие општини ќе бидат воспоставени во првиот квартал на 2023.</w:t>
            </w:r>
          </w:p>
        </w:tc>
      </w:tr>
      <w:tr w:rsidR="00A52A9A" w14:paraId="74B42B8B" w14:textId="77777777" w:rsidTr="00A86A0C">
        <w:tc>
          <w:tcPr>
            <w:tcW w:w="9345" w:type="dxa"/>
            <w:gridSpan w:val="8"/>
            <w:tcBorders>
              <w:top w:val="single" w:sz="8" w:space="0" w:color="000001"/>
              <w:left w:val="single" w:sz="8" w:space="0" w:color="000001"/>
              <w:bottom w:val="single" w:sz="8" w:space="0" w:color="000001"/>
              <w:right w:val="single" w:sz="8" w:space="0" w:color="000001"/>
            </w:tcBorders>
            <w:shd w:val="clear" w:color="auto" w:fill="1F4E79"/>
          </w:tcPr>
          <w:p w14:paraId="3C1E6276" w14:textId="77777777" w:rsidR="00A52A9A" w:rsidRDefault="00A52A9A" w:rsidP="00A86A0C">
            <w:pPr>
              <w:pStyle w:val="TableContents"/>
              <w:jc w:val="center"/>
            </w:pPr>
            <w:r>
              <w:rPr>
                <w:b/>
                <w:color w:val="FFFFFF"/>
                <w:sz w:val="22"/>
              </w:rPr>
              <w:lastRenderedPageBreak/>
              <w:t>Спречување на корупција и промовирање на добро владеење</w:t>
            </w:r>
          </w:p>
        </w:tc>
      </w:tr>
      <w:tr w:rsidR="00A52A9A" w14:paraId="752B490F"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3EF77C2A" w14:textId="77777777" w:rsidR="00A52A9A" w:rsidRDefault="00A52A9A" w:rsidP="00A86A0C">
            <w:pPr>
              <w:pStyle w:val="TableContents"/>
              <w:jc w:val="center"/>
              <w:rPr>
                <w:b/>
                <w:sz w:val="20"/>
              </w:rPr>
            </w:pPr>
          </w:p>
          <w:p w14:paraId="37633D16" w14:textId="77777777" w:rsidR="00A52A9A" w:rsidRDefault="00A52A9A" w:rsidP="00A86A0C">
            <w:pPr>
              <w:pStyle w:val="TableContents"/>
              <w:jc w:val="center"/>
            </w:pPr>
            <w:r>
              <w:rPr>
                <w:b/>
                <w:sz w:val="20"/>
              </w:rPr>
              <w:t>2.1 Јавните набавки како отворени податоци</w:t>
            </w:r>
          </w:p>
        </w:tc>
      </w:tr>
      <w:tr w:rsidR="00A52A9A" w14:paraId="1CC5D99C"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189EBD03"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01.10.2021-31.08.2023</w:t>
            </w:r>
          </w:p>
        </w:tc>
      </w:tr>
      <w:tr w:rsidR="00A52A9A" w14:paraId="0AA88CAE" w14:textId="77777777" w:rsidTr="00A86A0C">
        <w:tc>
          <w:tcPr>
            <w:tcW w:w="4037" w:type="dxa"/>
            <w:tcBorders>
              <w:top w:val="single" w:sz="8" w:space="0" w:color="000001"/>
              <w:left w:val="single" w:sz="8" w:space="0" w:color="000001"/>
              <w:bottom w:val="single" w:sz="8" w:space="0" w:color="000001"/>
              <w:right w:val="single" w:sz="8" w:space="0" w:color="000001"/>
            </w:tcBorders>
            <w:shd w:val="clear" w:color="auto" w:fill="FFFFFF"/>
          </w:tcPr>
          <w:p w14:paraId="6D39EE04"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8" w:type="dxa"/>
            <w:gridSpan w:val="7"/>
            <w:tcBorders>
              <w:top w:val="single" w:sz="8" w:space="0" w:color="000001"/>
              <w:left w:val="single" w:sz="8" w:space="0" w:color="000001"/>
              <w:bottom w:val="single" w:sz="8" w:space="0" w:color="000001"/>
              <w:right w:val="single" w:sz="8" w:space="0" w:color="000001"/>
            </w:tcBorders>
            <w:shd w:val="clear" w:color="auto" w:fill="DEEAF6"/>
          </w:tcPr>
          <w:p w14:paraId="626D0012" w14:textId="77777777" w:rsidR="00A52A9A" w:rsidRPr="00142F34" w:rsidRDefault="00A52A9A" w:rsidP="00A86A0C">
            <w:pPr>
              <w:pStyle w:val="TableContents"/>
              <w:jc w:val="center"/>
              <w:rPr>
                <w:sz w:val="20"/>
                <w:szCs w:val="20"/>
              </w:rPr>
            </w:pPr>
            <w:r w:rsidRPr="00142F34">
              <w:rPr>
                <w:sz w:val="20"/>
                <w:szCs w:val="20"/>
              </w:rPr>
              <w:t>Биро за јавни набавки</w:t>
            </w:r>
          </w:p>
        </w:tc>
      </w:tr>
      <w:tr w:rsidR="00A52A9A" w14:paraId="2CC17BA1" w14:textId="77777777" w:rsidTr="00A86A0C">
        <w:tblPrEx>
          <w:tblCellMar>
            <w:left w:w="115" w:type="dxa"/>
            <w:right w:w="115" w:type="dxa"/>
          </w:tblCellMar>
        </w:tblPrEx>
        <w:tc>
          <w:tcPr>
            <w:tcW w:w="4037" w:type="dxa"/>
            <w:vMerge w:val="restart"/>
            <w:tcBorders>
              <w:top w:val="single" w:sz="8" w:space="0" w:color="000001"/>
              <w:left w:val="single" w:sz="8" w:space="0" w:color="000001"/>
              <w:right w:val="single" w:sz="8" w:space="0" w:color="000001"/>
            </w:tcBorders>
            <w:shd w:val="clear" w:color="auto" w:fill="FFFFFF"/>
            <w:vAlign w:val="center"/>
          </w:tcPr>
          <w:p w14:paraId="7F29B664" w14:textId="77777777" w:rsidR="00A52A9A" w:rsidRDefault="00A52A9A" w:rsidP="00A86A0C">
            <w:pPr>
              <w:pStyle w:val="TableContents"/>
              <w:spacing w:after="0"/>
              <w:jc w:val="center"/>
            </w:pPr>
            <w:r>
              <w:rPr>
                <w:b/>
                <w:sz w:val="20"/>
              </w:rPr>
              <w:t>Статус на реализација на заложбата</w:t>
            </w:r>
          </w:p>
          <w:p w14:paraId="7E470998"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6480262"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8"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3902E50" w14:textId="77777777" w:rsidR="00A52A9A" w:rsidRDefault="00A52A9A" w:rsidP="00A86A0C">
            <w:pPr>
              <w:pStyle w:val="TableContents"/>
              <w:jc w:val="center"/>
            </w:pPr>
            <w:r>
              <w:rPr>
                <w:b/>
                <w:color w:val="000000"/>
                <w:sz w:val="18"/>
              </w:rPr>
              <w:t>ограничено</w:t>
            </w:r>
          </w:p>
        </w:tc>
        <w:tc>
          <w:tcPr>
            <w:tcW w:w="1382"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D4D7C32" w14:textId="77777777" w:rsidR="00A52A9A" w:rsidRDefault="00A52A9A" w:rsidP="00A86A0C">
            <w:pPr>
              <w:pStyle w:val="TableContents"/>
              <w:jc w:val="center"/>
            </w:pPr>
            <w:r>
              <w:rPr>
                <w:b/>
                <w:color w:val="000000"/>
                <w:sz w:val="18"/>
              </w:rPr>
              <w:t>значително</w:t>
            </w: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0A2486E" w14:textId="77777777" w:rsidR="00A52A9A" w:rsidRDefault="00A52A9A" w:rsidP="00A86A0C">
            <w:pPr>
              <w:pStyle w:val="TableContents"/>
              <w:jc w:val="center"/>
            </w:pPr>
            <w:r>
              <w:rPr>
                <w:b/>
                <w:color w:val="000000"/>
                <w:sz w:val="18"/>
              </w:rPr>
              <w:t>завршено</w:t>
            </w:r>
          </w:p>
        </w:tc>
      </w:tr>
      <w:tr w:rsidR="00A52A9A" w14:paraId="07161CCA" w14:textId="77777777" w:rsidTr="00A86A0C">
        <w:tblPrEx>
          <w:tblCellMar>
            <w:left w:w="115" w:type="dxa"/>
            <w:right w:w="115" w:type="dxa"/>
          </w:tblCellMar>
        </w:tblPrEx>
        <w:tc>
          <w:tcPr>
            <w:tcW w:w="4037" w:type="dxa"/>
            <w:vMerge/>
            <w:tcBorders>
              <w:top w:val="single" w:sz="8" w:space="0" w:color="000001"/>
              <w:left w:val="single" w:sz="8" w:space="0" w:color="000001"/>
              <w:right w:val="single" w:sz="8" w:space="0" w:color="000001"/>
            </w:tcBorders>
            <w:shd w:val="clear" w:color="auto" w:fill="FFFFFF"/>
            <w:vAlign w:val="center"/>
          </w:tcPr>
          <w:p w14:paraId="15B096E6"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3299AD01" w14:textId="77777777" w:rsidR="00A52A9A" w:rsidRDefault="00A52A9A" w:rsidP="00A86A0C">
            <w:pPr>
              <w:pStyle w:val="TableContents"/>
              <w:jc w:val="both"/>
            </w:pPr>
          </w:p>
        </w:tc>
        <w:tc>
          <w:tcPr>
            <w:tcW w:w="1368"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4C8EC2B9" w14:textId="77777777" w:rsidR="00A52A9A" w:rsidRDefault="00A52A9A" w:rsidP="00A86A0C">
            <w:pPr>
              <w:pStyle w:val="TableContents"/>
              <w:jc w:val="both"/>
            </w:pPr>
          </w:p>
        </w:tc>
        <w:tc>
          <w:tcPr>
            <w:tcW w:w="1382"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BD1185D" w14:textId="77777777" w:rsidR="00A52A9A" w:rsidRDefault="00A52A9A" w:rsidP="00A86A0C">
            <w:pPr>
              <w:pStyle w:val="TableContents"/>
              <w:jc w:val="both"/>
            </w:pPr>
          </w:p>
        </w:tc>
        <w:tc>
          <w:tcPr>
            <w:tcW w:w="1192" w:type="dxa"/>
            <w:tcBorders>
              <w:top w:val="single" w:sz="8" w:space="0" w:color="000001"/>
              <w:left w:val="single" w:sz="8" w:space="0" w:color="000001"/>
              <w:bottom w:val="single" w:sz="8" w:space="0" w:color="000001"/>
              <w:right w:val="single" w:sz="8" w:space="0" w:color="000001"/>
            </w:tcBorders>
            <w:shd w:val="clear" w:color="auto" w:fill="548DD4"/>
            <w:vAlign w:val="center"/>
          </w:tcPr>
          <w:p w14:paraId="3FA06381" w14:textId="77777777" w:rsidR="00A52A9A" w:rsidRDefault="00A52A9A" w:rsidP="00A86A0C">
            <w:pPr>
              <w:pStyle w:val="TableContents"/>
              <w:jc w:val="both"/>
            </w:pPr>
          </w:p>
        </w:tc>
      </w:tr>
      <w:tr w:rsidR="00A52A9A" w14:paraId="41F35023" w14:textId="77777777" w:rsidTr="00A86A0C">
        <w:tc>
          <w:tcPr>
            <w:tcW w:w="4037" w:type="dxa"/>
            <w:tcBorders>
              <w:top w:val="single" w:sz="8" w:space="0" w:color="000001"/>
              <w:left w:val="single" w:sz="8" w:space="0" w:color="000001"/>
              <w:bottom w:val="single" w:sz="8" w:space="0" w:color="000001"/>
              <w:right w:val="single" w:sz="8" w:space="0" w:color="000001"/>
            </w:tcBorders>
            <w:shd w:val="clear" w:color="auto" w:fill="BDD6EE"/>
          </w:tcPr>
          <w:p w14:paraId="765B2B73" w14:textId="77777777" w:rsidR="00A52A9A" w:rsidRDefault="00A52A9A" w:rsidP="00A86A0C">
            <w:pPr>
              <w:pStyle w:val="TableContents"/>
              <w:jc w:val="center"/>
            </w:pPr>
            <w:r>
              <w:rPr>
                <w:b/>
                <w:sz w:val="20"/>
              </w:rPr>
              <w:t>Достигнувања</w:t>
            </w:r>
          </w:p>
        </w:tc>
        <w:tc>
          <w:tcPr>
            <w:tcW w:w="5308" w:type="dxa"/>
            <w:gridSpan w:val="7"/>
            <w:tcBorders>
              <w:top w:val="single" w:sz="8" w:space="0" w:color="000001"/>
              <w:left w:val="single" w:sz="8" w:space="0" w:color="000001"/>
              <w:bottom w:val="single" w:sz="8" w:space="0" w:color="000001"/>
              <w:right w:val="single" w:sz="8" w:space="0" w:color="000001"/>
            </w:tcBorders>
            <w:shd w:val="clear" w:color="auto" w:fill="BDD6EE"/>
          </w:tcPr>
          <w:p w14:paraId="229ED237"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37FA0E80" w14:textId="77777777" w:rsidTr="00A86A0C">
        <w:tc>
          <w:tcPr>
            <w:tcW w:w="4037" w:type="dxa"/>
            <w:tcBorders>
              <w:top w:val="single" w:sz="8" w:space="0" w:color="000001"/>
              <w:left w:val="single" w:sz="8" w:space="0" w:color="000001"/>
              <w:bottom w:val="single" w:sz="8" w:space="0" w:color="000001"/>
              <w:right w:val="single" w:sz="8" w:space="0" w:color="000001"/>
            </w:tcBorders>
            <w:shd w:val="clear" w:color="auto" w:fill="DEEAF6"/>
          </w:tcPr>
          <w:p w14:paraId="2E56257C" w14:textId="77777777" w:rsidR="00A52A9A" w:rsidRDefault="00A52A9A" w:rsidP="00A86A0C">
            <w:pPr>
              <w:pStyle w:val="TableContents"/>
              <w:spacing w:after="0"/>
              <w:jc w:val="both"/>
            </w:pPr>
            <w:r>
              <w:rPr>
                <w:b/>
                <w:sz w:val="20"/>
              </w:rPr>
              <w:t xml:space="preserve">2.1.1 Подготовка на план за објавување кој претставува структурата на податочниот сет и избор на информации кои ќе се објавуваат за секоја јавна набавка. </w:t>
            </w:r>
          </w:p>
        </w:tc>
        <w:tc>
          <w:tcPr>
            <w:tcW w:w="5308"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39E8C690" w14:textId="77777777" w:rsidR="00A52A9A" w:rsidRPr="008B6467" w:rsidRDefault="00A52A9A" w:rsidP="00A86A0C">
            <w:pPr>
              <w:pStyle w:val="TableContents"/>
              <w:jc w:val="both"/>
              <w:rPr>
                <w:sz w:val="20"/>
                <w:szCs w:val="20"/>
              </w:rPr>
            </w:pPr>
            <w:r w:rsidRPr="008B6467">
              <w:rPr>
                <w:sz w:val="20"/>
                <w:szCs w:val="20"/>
              </w:rPr>
              <w:t xml:space="preserve">Подобрување на отчетноста на јавните набавки, односно објавување на известувањата за склучени договори во машински читлив и обработлив формат со цел зголемување на транспарентноста и олеснување на пристапот до </w:t>
            </w:r>
            <w:proofErr w:type="spellStart"/>
            <w:r w:rsidRPr="008B6467">
              <w:rPr>
                <w:sz w:val="20"/>
                <w:szCs w:val="20"/>
              </w:rPr>
              <w:t>постоечките</w:t>
            </w:r>
            <w:proofErr w:type="spellEnd"/>
            <w:r w:rsidRPr="008B6467">
              <w:rPr>
                <w:sz w:val="20"/>
                <w:szCs w:val="20"/>
              </w:rPr>
              <w:t xml:space="preserve"> информации за склучени договори за јавни набавки.</w:t>
            </w:r>
          </w:p>
          <w:p w14:paraId="321644DA" w14:textId="77777777" w:rsidR="00A52A9A" w:rsidRPr="008B6467" w:rsidRDefault="00A52A9A" w:rsidP="00A86A0C">
            <w:pPr>
              <w:pStyle w:val="TableContents"/>
              <w:jc w:val="both"/>
              <w:rPr>
                <w:sz w:val="20"/>
                <w:szCs w:val="20"/>
              </w:rPr>
            </w:pPr>
            <w:r w:rsidRPr="008B6467">
              <w:rPr>
                <w:sz w:val="20"/>
                <w:szCs w:val="20"/>
              </w:rPr>
              <w:t xml:space="preserve">За реализација на заложбата Бирото изготви план и решение, односно развиена е функционалност на Електронскиот систем за јавни набавки, така што сите податоци во модулот „Склучени договори“ </w:t>
            </w:r>
            <w:r w:rsidRPr="008B6467">
              <w:rPr>
                <w:sz w:val="20"/>
                <w:szCs w:val="20"/>
              </w:rPr>
              <w:lastRenderedPageBreak/>
              <w:t>заинтересираните страни ќе може со единствен клик да ги преземаат во обработлив формат.</w:t>
            </w:r>
          </w:p>
          <w:p w14:paraId="1B5C1E10" w14:textId="77777777" w:rsidR="00A52A9A" w:rsidRPr="008B6467" w:rsidRDefault="00A52A9A" w:rsidP="00A86A0C">
            <w:pPr>
              <w:pStyle w:val="TableContents"/>
              <w:jc w:val="both"/>
              <w:rPr>
                <w:sz w:val="20"/>
                <w:szCs w:val="20"/>
              </w:rPr>
            </w:pPr>
            <w:r w:rsidRPr="008B6467">
              <w:rPr>
                <w:sz w:val="20"/>
                <w:szCs w:val="20"/>
              </w:rPr>
              <w:t xml:space="preserve">Првично, по јавното објавување на техничкото решение на ЕСЈН, ќе биде поставен линк на порталот за отворени податоци што ќе </w:t>
            </w:r>
            <w:proofErr w:type="spellStart"/>
            <w:r w:rsidRPr="008B6467">
              <w:rPr>
                <w:sz w:val="20"/>
                <w:szCs w:val="20"/>
              </w:rPr>
              <w:t>редиректира</w:t>
            </w:r>
            <w:proofErr w:type="spellEnd"/>
            <w:r w:rsidRPr="008B6467">
              <w:rPr>
                <w:sz w:val="20"/>
                <w:szCs w:val="20"/>
              </w:rPr>
              <w:t xml:space="preserve"> на локацијата за преземање на податоците.</w:t>
            </w:r>
          </w:p>
        </w:tc>
      </w:tr>
      <w:tr w:rsidR="00A52A9A" w14:paraId="1BA813DE" w14:textId="77777777" w:rsidTr="00A86A0C">
        <w:tc>
          <w:tcPr>
            <w:tcW w:w="4037" w:type="dxa"/>
            <w:tcBorders>
              <w:top w:val="single" w:sz="8" w:space="0" w:color="000001"/>
              <w:left w:val="single" w:sz="8" w:space="0" w:color="000001"/>
              <w:bottom w:val="single" w:sz="8" w:space="0" w:color="000001"/>
              <w:right w:val="single" w:sz="8" w:space="0" w:color="000001"/>
            </w:tcBorders>
            <w:shd w:val="clear" w:color="auto" w:fill="DEEAF6"/>
          </w:tcPr>
          <w:p w14:paraId="0F0B114E" w14:textId="77777777" w:rsidR="00A52A9A" w:rsidRDefault="00A52A9A" w:rsidP="00A86A0C">
            <w:pPr>
              <w:pStyle w:val="TableContents"/>
              <w:spacing w:after="0"/>
              <w:jc w:val="both"/>
            </w:pPr>
            <w:r>
              <w:rPr>
                <w:b/>
                <w:sz w:val="20"/>
              </w:rPr>
              <w:lastRenderedPageBreak/>
              <w:t xml:space="preserve">2.1.2 Објавување на базата на порталот отворени податоци </w:t>
            </w:r>
          </w:p>
        </w:tc>
        <w:tc>
          <w:tcPr>
            <w:tcW w:w="5308"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36A397C8" w14:textId="77777777" w:rsidR="00A52A9A" w:rsidRPr="008B6467" w:rsidRDefault="00A52A9A" w:rsidP="00A86A0C">
            <w:pPr>
              <w:pStyle w:val="TableContents"/>
              <w:jc w:val="both"/>
              <w:rPr>
                <w:sz w:val="20"/>
                <w:szCs w:val="20"/>
              </w:rPr>
            </w:pPr>
            <w:r w:rsidRPr="008B6467">
              <w:rPr>
                <w:sz w:val="20"/>
                <w:szCs w:val="20"/>
              </w:rPr>
              <w:t>На Електронскиот систем за јавни набавки (ЕСЈН), во делот Склучени договори и Склучени договори од квартални евиденции додадена е можност за генерирање на податоците кои се дадени во табела на приказ во обработлив формат.</w:t>
            </w:r>
          </w:p>
          <w:p w14:paraId="3D02A135" w14:textId="77777777" w:rsidR="00A52A9A" w:rsidRPr="008B6467" w:rsidRDefault="00A52A9A" w:rsidP="00A86A0C">
            <w:pPr>
              <w:pStyle w:val="TableContents"/>
              <w:jc w:val="both"/>
              <w:rPr>
                <w:sz w:val="20"/>
                <w:szCs w:val="20"/>
              </w:rPr>
            </w:pPr>
            <w:r w:rsidRPr="008B6467">
              <w:rPr>
                <w:sz w:val="20"/>
                <w:szCs w:val="20"/>
              </w:rPr>
              <w:t>На приказ на веб формата дадена е табела со сите склучени догов</w:t>
            </w:r>
            <w:r>
              <w:rPr>
                <w:sz w:val="20"/>
                <w:szCs w:val="20"/>
              </w:rPr>
              <w:t>о</w:t>
            </w:r>
            <w:r w:rsidRPr="008B6467">
              <w:rPr>
                <w:sz w:val="20"/>
                <w:szCs w:val="20"/>
              </w:rPr>
              <w:t>ри. Постои можност да се направи пребарување и филтрирање на договорите по повеќе критериуми. Со кликнување на копчето „Преземи во CSV“ податоците од табелата се преземаат во CSV фајл и истите може да се конвертираат во .</w:t>
            </w:r>
            <w:proofErr w:type="spellStart"/>
            <w:r w:rsidRPr="008B6467">
              <w:rPr>
                <w:sz w:val="20"/>
                <w:szCs w:val="20"/>
              </w:rPr>
              <w:t>xls</w:t>
            </w:r>
            <w:proofErr w:type="spellEnd"/>
            <w:r w:rsidRPr="008B6467">
              <w:rPr>
                <w:sz w:val="20"/>
                <w:szCs w:val="20"/>
              </w:rPr>
              <w:t xml:space="preserve"> за полесна обработка за што е објавено и корисничко упатство.</w:t>
            </w:r>
          </w:p>
          <w:p w14:paraId="28EF4805" w14:textId="77777777" w:rsidR="00A52A9A" w:rsidRPr="008B6467" w:rsidRDefault="00A52A9A" w:rsidP="00A86A0C">
            <w:pPr>
              <w:pStyle w:val="TableContents"/>
              <w:jc w:val="both"/>
              <w:rPr>
                <w:sz w:val="20"/>
                <w:szCs w:val="20"/>
              </w:rPr>
            </w:pPr>
            <w:r w:rsidRPr="008B6467">
              <w:rPr>
                <w:sz w:val="20"/>
                <w:szCs w:val="20"/>
              </w:rPr>
              <w:t>Линковите од склучените договори се достапни на веб страницата на ЕСЈН</w:t>
            </w:r>
          </w:p>
          <w:p w14:paraId="7EAAB284" w14:textId="77777777" w:rsidR="00A52A9A" w:rsidRPr="00356237" w:rsidRDefault="00000000" w:rsidP="00A86A0C">
            <w:pPr>
              <w:pStyle w:val="TableContents"/>
              <w:rPr>
                <w:sz w:val="20"/>
                <w:szCs w:val="20"/>
              </w:rPr>
            </w:pPr>
            <w:hyperlink r:id="rId29" w:anchor="/contracts/0" w:history="1">
              <w:r w:rsidR="00A52A9A" w:rsidRPr="00356237">
                <w:rPr>
                  <w:rStyle w:val="Hyperlink"/>
                  <w:sz w:val="20"/>
                  <w:szCs w:val="20"/>
                </w:rPr>
                <w:t>Склучени договори</w:t>
              </w:r>
            </w:hyperlink>
          </w:p>
          <w:p w14:paraId="758F75D3" w14:textId="77777777" w:rsidR="00A52A9A" w:rsidRPr="00356237" w:rsidRDefault="00000000" w:rsidP="00A86A0C">
            <w:pPr>
              <w:pStyle w:val="TableContents"/>
              <w:rPr>
                <w:sz w:val="20"/>
                <w:szCs w:val="20"/>
              </w:rPr>
            </w:pPr>
            <w:hyperlink r:id="rId30" w:anchor="/contracts/1" w:history="1">
              <w:r w:rsidR="00A52A9A" w:rsidRPr="00356237">
                <w:rPr>
                  <w:rStyle w:val="Hyperlink"/>
                  <w:sz w:val="20"/>
                  <w:szCs w:val="20"/>
                </w:rPr>
                <w:t>Склучени договори од квартални евиденции</w:t>
              </w:r>
            </w:hyperlink>
          </w:p>
        </w:tc>
      </w:tr>
      <w:tr w:rsidR="00A52A9A" w14:paraId="4BBFF030"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1A0EFB00" w14:textId="77777777" w:rsidR="00A52A9A" w:rsidRDefault="00A52A9A" w:rsidP="00A86A0C">
            <w:pPr>
              <w:pStyle w:val="TableContents"/>
              <w:jc w:val="center"/>
            </w:pPr>
            <w:r>
              <w:rPr>
                <w:b/>
                <w:sz w:val="20"/>
              </w:rPr>
              <w:t>2.2 Унапреден механизам за следење на имотната состојба на избраните и именуваните лица</w:t>
            </w:r>
          </w:p>
        </w:tc>
      </w:tr>
      <w:tr w:rsidR="00A52A9A" w14:paraId="290D22A8"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1D6E3C54"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01.10.2021-31.08.2023</w:t>
            </w:r>
          </w:p>
        </w:tc>
      </w:tr>
      <w:tr w:rsidR="00A52A9A" w14:paraId="12580BFB" w14:textId="77777777" w:rsidTr="00A86A0C">
        <w:tc>
          <w:tcPr>
            <w:tcW w:w="4037" w:type="dxa"/>
            <w:tcBorders>
              <w:top w:val="single" w:sz="8" w:space="0" w:color="000001"/>
              <w:left w:val="single" w:sz="8" w:space="0" w:color="000001"/>
              <w:bottom w:val="single" w:sz="8" w:space="0" w:color="000001"/>
              <w:right w:val="single" w:sz="8" w:space="0" w:color="000001"/>
            </w:tcBorders>
            <w:shd w:val="clear" w:color="auto" w:fill="FFFFFF"/>
          </w:tcPr>
          <w:p w14:paraId="77F74D16"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8" w:type="dxa"/>
            <w:gridSpan w:val="7"/>
            <w:tcBorders>
              <w:top w:val="single" w:sz="8" w:space="0" w:color="000001"/>
              <w:left w:val="single" w:sz="8" w:space="0" w:color="000001"/>
              <w:bottom w:val="single" w:sz="8" w:space="0" w:color="000001"/>
              <w:right w:val="single" w:sz="8" w:space="0" w:color="000001"/>
            </w:tcBorders>
            <w:shd w:val="clear" w:color="auto" w:fill="DEEAF6"/>
          </w:tcPr>
          <w:p w14:paraId="65553ED3" w14:textId="77777777" w:rsidR="00A52A9A" w:rsidRPr="00142F34" w:rsidRDefault="00A52A9A" w:rsidP="00A86A0C">
            <w:pPr>
              <w:pStyle w:val="TableContents"/>
              <w:jc w:val="center"/>
              <w:rPr>
                <w:sz w:val="20"/>
                <w:szCs w:val="20"/>
              </w:rPr>
            </w:pPr>
            <w:r w:rsidRPr="00142F34">
              <w:rPr>
                <w:sz w:val="20"/>
                <w:szCs w:val="20"/>
              </w:rPr>
              <w:t>Државна комисија за спречување на корупцијата</w:t>
            </w:r>
          </w:p>
        </w:tc>
      </w:tr>
      <w:tr w:rsidR="00A52A9A" w14:paraId="24FCEFCB" w14:textId="77777777" w:rsidTr="00A86A0C">
        <w:tblPrEx>
          <w:tblCellMar>
            <w:left w:w="115" w:type="dxa"/>
            <w:right w:w="115" w:type="dxa"/>
          </w:tblCellMar>
        </w:tblPrEx>
        <w:tc>
          <w:tcPr>
            <w:tcW w:w="4037" w:type="dxa"/>
            <w:vMerge w:val="restart"/>
            <w:tcBorders>
              <w:top w:val="single" w:sz="8" w:space="0" w:color="000001"/>
              <w:left w:val="single" w:sz="8" w:space="0" w:color="000001"/>
              <w:right w:val="single" w:sz="8" w:space="0" w:color="000001"/>
            </w:tcBorders>
            <w:shd w:val="clear" w:color="auto" w:fill="FFFFFF"/>
            <w:vAlign w:val="center"/>
          </w:tcPr>
          <w:p w14:paraId="56D0622A" w14:textId="77777777" w:rsidR="00A52A9A" w:rsidRDefault="00A52A9A" w:rsidP="00A86A0C">
            <w:pPr>
              <w:pStyle w:val="TableContents"/>
              <w:spacing w:after="0"/>
              <w:jc w:val="center"/>
            </w:pPr>
            <w:r>
              <w:rPr>
                <w:b/>
                <w:sz w:val="20"/>
              </w:rPr>
              <w:t>Статус на реализација на заложбата</w:t>
            </w:r>
          </w:p>
          <w:p w14:paraId="1352D820"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6C3A088F"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8"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96733FD" w14:textId="77777777" w:rsidR="00A52A9A" w:rsidRDefault="00A52A9A" w:rsidP="00A86A0C">
            <w:pPr>
              <w:pStyle w:val="TableContents"/>
              <w:jc w:val="center"/>
            </w:pPr>
            <w:r>
              <w:rPr>
                <w:b/>
                <w:color w:val="000000"/>
                <w:sz w:val="18"/>
              </w:rPr>
              <w:t>ограничено</w:t>
            </w:r>
          </w:p>
        </w:tc>
        <w:tc>
          <w:tcPr>
            <w:tcW w:w="1382"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574222E3" w14:textId="77777777" w:rsidR="00A52A9A" w:rsidRDefault="00A52A9A" w:rsidP="00A86A0C">
            <w:pPr>
              <w:pStyle w:val="TableContents"/>
              <w:jc w:val="center"/>
            </w:pPr>
            <w:r>
              <w:rPr>
                <w:b/>
                <w:color w:val="000000"/>
                <w:sz w:val="18"/>
              </w:rPr>
              <w:t>значително</w:t>
            </w: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1F413E3A" w14:textId="77777777" w:rsidR="00A52A9A" w:rsidRDefault="00A52A9A" w:rsidP="00A86A0C">
            <w:pPr>
              <w:pStyle w:val="TableContents"/>
              <w:jc w:val="center"/>
            </w:pPr>
            <w:r>
              <w:rPr>
                <w:b/>
                <w:color w:val="000000"/>
                <w:sz w:val="18"/>
              </w:rPr>
              <w:t>завршено</w:t>
            </w:r>
          </w:p>
        </w:tc>
      </w:tr>
      <w:tr w:rsidR="00A52A9A" w14:paraId="360FEE62" w14:textId="77777777" w:rsidTr="00A86A0C">
        <w:tblPrEx>
          <w:tblCellMar>
            <w:left w:w="115" w:type="dxa"/>
            <w:right w:w="115" w:type="dxa"/>
          </w:tblCellMar>
        </w:tblPrEx>
        <w:tc>
          <w:tcPr>
            <w:tcW w:w="4037" w:type="dxa"/>
            <w:vMerge/>
            <w:tcBorders>
              <w:top w:val="single" w:sz="8" w:space="0" w:color="000001"/>
              <w:left w:val="single" w:sz="8" w:space="0" w:color="000001"/>
              <w:right w:val="single" w:sz="8" w:space="0" w:color="000001"/>
            </w:tcBorders>
            <w:shd w:val="clear" w:color="auto" w:fill="FFFFFF"/>
            <w:vAlign w:val="center"/>
          </w:tcPr>
          <w:p w14:paraId="1688057B"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7B470524" w14:textId="77777777" w:rsidR="00A52A9A" w:rsidRDefault="00A52A9A" w:rsidP="00A86A0C">
            <w:pPr>
              <w:pStyle w:val="TableContents"/>
              <w:jc w:val="both"/>
            </w:pPr>
          </w:p>
        </w:tc>
        <w:tc>
          <w:tcPr>
            <w:tcW w:w="1368"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6E9D1E87" w14:textId="77777777" w:rsidR="00A52A9A" w:rsidRDefault="00A52A9A" w:rsidP="00A86A0C">
            <w:pPr>
              <w:pStyle w:val="TableContents"/>
              <w:jc w:val="both"/>
            </w:pPr>
          </w:p>
        </w:tc>
        <w:tc>
          <w:tcPr>
            <w:tcW w:w="1382"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CA902FA" w14:textId="77777777" w:rsidR="00A52A9A" w:rsidRDefault="00A52A9A" w:rsidP="00A86A0C">
            <w:pPr>
              <w:pStyle w:val="TableContents"/>
              <w:jc w:val="both"/>
            </w:pP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1AE3F3E2" w14:textId="77777777" w:rsidR="00A52A9A" w:rsidRDefault="00A52A9A" w:rsidP="00A86A0C">
            <w:pPr>
              <w:pStyle w:val="TableContents"/>
              <w:jc w:val="both"/>
            </w:pPr>
          </w:p>
        </w:tc>
      </w:tr>
      <w:tr w:rsidR="00A52A9A" w14:paraId="776B417E" w14:textId="77777777" w:rsidTr="00A86A0C">
        <w:tc>
          <w:tcPr>
            <w:tcW w:w="4037" w:type="dxa"/>
            <w:tcBorders>
              <w:top w:val="single" w:sz="8" w:space="0" w:color="000001"/>
              <w:left w:val="single" w:sz="8" w:space="0" w:color="000001"/>
              <w:bottom w:val="single" w:sz="8" w:space="0" w:color="000001"/>
              <w:right w:val="single" w:sz="8" w:space="0" w:color="000001"/>
            </w:tcBorders>
            <w:shd w:val="clear" w:color="auto" w:fill="BDD6EE"/>
          </w:tcPr>
          <w:p w14:paraId="1C38F1CE" w14:textId="77777777" w:rsidR="00A52A9A" w:rsidRDefault="00A52A9A" w:rsidP="00A86A0C">
            <w:pPr>
              <w:pStyle w:val="TableContents"/>
              <w:jc w:val="center"/>
            </w:pPr>
            <w:r>
              <w:rPr>
                <w:b/>
                <w:sz w:val="20"/>
              </w:rPr>
              <w:t>Достигнувања</w:t>
            </w:r>
          </w:p>
        </w:tc>
        <w:tc>
          <w:tcPr>
            <w:tcW w:w="5308" w:type="dxa"/>
            <w:gridSpan w:val="7"/>
            <w:tcBorders>
              <w:top w:val="single" w:sz="8" w:space="0" w:color="000001"/>
              <w:left w:val="single" w:sz="8" w:space="0" w:color="000001"/>
              <w:bottom w:val="single" w:sz="8" w:space="0" w:color="000001"/>
              <w:right w:val="single" w:sz="8" w:space="0" w:color="000001"/>
            </w:tcBorders>
            <w:shd w:val="clear" w:color="auto" w:fill="BDD6EE"/>
          </w:tcPr>
          <w:p w14:paraId="4FA13B42"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30D79B63" w14:textId="77777777" w:rsidTr="00A86A0C">
        <w:tc>
          <w:tcPr>
            <w:tcW w:w="4037" w:type="dxa"/>
            <w:tcBorders>
              <w:top w:val="single" w:sz="8" w:space="0" w:color="000001"/>
              <w:left w:val="single" w:sz="8" w:space="0" w:color="000001"/>
              <w:bottom w:val="single" w:sz="8" w:space="0" w:color="000001"/>
              <w:right w:val="single" w:sz="8" w:space="0" w:color="000001"/>
            </w:tcBorders>
            <w:shd w:val="clear" w:color="auto" w:fill="DEEAF6"/>
          </w:tcPr>
          <w:p w14:paraId="68BC7BE7" w14:textId="77777777" w:rsidR="00A52A9A" w:rsidRDefault="00A52A9A" w:rsidP="00A86A0C">
            <w:pPr>
              <w:pStyle w:val="TableContents"/>
              <w:spacing w:after="0"/>
              <w:jc w:val="both"/>
            </w:pPr>
            <w:r>
              <w:rPr>
                <w:b/>
                <w:sz w:val="20"/>
              </w:rPr>
              <w:t>2.2.1 Комплетирање на софтверско решение за регистар и анкетни листови</w:t>
            </w:r>
          </w:p>
        </w:tc>
        <w:tc>
          <w:tcPr>
            <w:tcW w:w="5308"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21EA33F2" w14:textId="77777777" w:rsidR="00A52A9A" w:rsidRDefault="00A52A9A" w:rsidP="00A86A0C">
            <w:pPr>
              <w:pStyle w:val="TableContents"/>
              <w:jc w:val="both"/>
            </w:pPr>
          </w:p>
        </w:tc>
      </w:tr>
      <w:tr w:rsidR="00A52A9A" w14:paraId="7DEA1205" w14:textId="77777777" w:rsidTr="00A86A0C">
        <w:tc>
          <w:tcPr>
            <w:tcW w:w="4037" w:type="dxa"/>
            <w:tcBorders>
              <w:top w:val="single" w:sz="8" w:space="0" w:color="000001"/>
              <w:left w:val="single" w:sz="8" w:space="0" w:color="000001"/>
              <w:bottom w:val="single" w:sz="8" w:space="0" w:color="000001"/>
              <w:right w:val="single" w:sz="8" w:space="0" w:color="000001"/>
            </w:tcBorders>
            <w:shd w:val="clear" w:color="auto" w:fill="DEEAF6"/>
          </w:tcPr>
          <w:p w14:paraId="5A7101F3" w14:textId="77777777" w:rsidR="00A52A9A" w:rsidRDefault="00A52A9A" w:rsidP="00A86A0C">
            <w:pPr>
              <w:pStyle w:val="TableContents"/>
              <w:spacing w:after="0"/>
              <w:jc w:val="both"/>
            </w:pPr>
            <w:r>
              <w:rPr>
                <w:b/>
                <w:sz w:val="20"/>
              </w:rPr>
              <w:lastRenderedPageBreak/>
              <w:t>2.2.2 Иницијална фаза на прибирање податоци</w:t>
            </w:r>
          </w:p>
        </w:tc>
        <w:tc>
          <w:tcPr>
            <w:tcW w:w="5308"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3C64B114" w14:textId="77777777" w:rsidR="00A52A9A" w:rsidRDefault="00A52A9A" w:rsidP="00A86A0C">
            <w:pPr>
              <w:pStyle w:val="TableContents"/>
              <w:jc w:val="both"/>
            </w:pPr>
          </w:p>
        </w:tc>
      </w:tr>
      <w:tr w:rsidR="00A52A9A" w14:paraId="143C8C87"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17C24E24" w14:textId="77777777" w:rsidR="00A52A9A" w:rsidRDefault="00A52A9A" w:rsidP="00A86A0C">
            <w:pPr>
              <w:pStyle w:val="TableContents"/>
              <w:jc w:val="center"/>
            </w:pPr>
            <w:r>
              <w:rPr>
                <w:b/>
                <w:sz w:val="20"/>
              </w:rPr>
              <w:t>2.3 Јавно објавување на предметите за изборот на избрани / именувани лица од Владата на РСМ како раководители на институции</w:t>
            </w:r>
          </w:p>
        </w:tc>
      </w:tr>
      <w:tr w:rsidR="00A52A9A" w14:paraId="66DDA4A1"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71E7DB86"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01.10.2021-31.08.2023</w:t>
            </w:r>
          </w:p>
        </w:tc>
      </w:tr>
      <w:tr w:rsidR="00A52A9A" w14:paraId="3B118AEF" w14:textId="77777777" w:rsidTr="00A86A0C">
        <w:tc>
          <w:tcPr>
            <w:tcW w:w="4037" w:type="dxa"/>
            <w:tcBorders>
              <w:top w:val="single" w:sz="8" w:space="0" w:color="000001"/>
              <w:left w:val="single" w:sz="8" w:space="0" w:color="000001"/>
              <w:bottom w:val="single" w:sz="8" w:space="0" w:color="000001"/>
              <w:right w:val="single" w:sz="8" w:space="0" w:color="000001"/>
            </w:tcBorders>
            <w:shd w:val="clear" w:color="auto" w:fill="FFFFFF"/>
          </w:tcPr>
          <w:p w14:paraId="6001A58E"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8" w:type="dxa"/>
            <w:gridSpan w:val="7"/>
            <w:tcBorders>
              <w:top w:val="single" w:sz="8" w:space="0" w:color="000001"/>
              <w:left w:val="single" w:sz="8" w:space="0" w:color="000001"/>
              <w:bottom w:val="single" w:sz="8" w:space="0" w:color="000001"/>
              <w:right w:val="single" w:sz="8" w:space="0" w:color="000001"/>
            </w:tcBorders>
            <w:shd w:val="clear" w:color="auto" w:fill="DEEAF6"/>
          </w:tcPr>
          <w:p w14:paraId="3A391619" w14:textId="77777777" w:rsidR="00A52A9A" w:rsidRPr="00142F34" w:rsidRDefault="00A52A9A" w:rsidP="00A86A0C">
            <w:pPr>
              <w:pStyle w:val="TableContents"/>
              <w:jc w:val="center"/>
              <w:rPr>
                <w:sz w:val="20"/>
                <w:szCs w:val="20"/>
              </w:rPr>
            </w:pPr>
            <w:r w:rsidRPr="00142F34">
              <w:rPr>
                <w:sz w:val="20"/>
                <w:szCs w:val="20"/>
              </w:rPr>
              <w:t>Генерален Секретаријат на Влада на Република Северна Македонија</w:t>
            </w:r>
          </w:p>
        </w:tc>
      </w:tr>
      <w:tr w:rsidR="00A52A9A" w14:paraId="78284F11" w14:textId="77777777" w:rsidTr="00A86A0C">
        <w:tblPrEx>
          <w:tblCellMar>
            <w:left w:w="115" w:type="dxa"/>
            <w:right w:w="115" w:type="dxa"/>
          </w:tblCellMar>
        </w:tblPrEx>
        <w:tc>
          <w:tcPr>
            <w:tcW w:w="4037" w:type="dxa"/>
            <w:vMerge w:val="restart"/>
            <w:tcBorders>
              <w:top w:val="single" w:sz="8" w:space="0" w:color="000001"/>
              <w:left w:val="single" w:sz="8" w:space="0" w:color="000001"/>
              <w:right w:val="single" w:sz="8" w:space="0" w:color="000001"/>
            </w:tcBorders>
            <w:shd w:val="clear" w:color="auto" w:fill="FFFFFF"/>
            <w:vAlign w:val="center"/>
          </w:tcPr>
          <w:p w14:paraId="2B0BC21A" w14:textId="77777777" w:rsidR="00A52A9A" w:rsidRDefault="00A52A9A" w:rsidP="00A86A0C">
            <w:pPr>
              <w:pStyle w:val="TableContents"/>
              <w:spacing w:after="0"/>
              <w:jc w:val="center"/>
            </w:pPr>
            <w:r>
              <w:rPr>
                <w:b/>
                <w:sz w:val="20"/>
              </w:rPr>
              <w:t>Статус на реализација на заложбата</w:t>
            </w:r>
          </w:p>
          <w:p w14:paraId="7D2219A9"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203F6DC5"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8"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3C62DE55" w14:textId="77777777" w:rsidR="00A52A9A" w:rsidRDefault="00A52A9A" w:rsidP="00A86A0C">
            <w:pPr>
              <w:pStyle w:val="TableContents"/>
              <w:jc w:val="center"/>
            </w:pPr>
            <w:r>
              <w:rPr>
                <w:b/>
                <w:color w:val="000000"/>
                <w:sz w:val="18"/>
              </w:rPr>
              <w:t>ограничено</w:t>
            </w:r>
          </w:p>
        </w:tc>
        <w:tc>
          <w:tcPr>
            <w:tcW w:w="1382"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37F82C76" w14:textId="77777777" w:rsidR="00A52A9A" w:rsidRDefault="00A52A9A" w:rsidP="00A86A0C">
            <w:pPr>
              <w:pStyle w:val="TableContents"/>
              <w:jc w:val="center"/>
            </w:pPr>
            <w:r>
              <w:rPr>
                <w:b/>
                <w:color w:val="000000"/>
                <w:sz w:val="18"/>
              </w:rPr>
              <w:t>значително</w:t>
            </w: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6CE6C94" w14:textId="77777777" w:rsidR="00A52A9A" w:rsidRDefault="00A52A9A" w:rsidP="00A86A0C">
            <w:pPr>
              <w:pStyle w:val="TableContents"/>
              <w:jc w:val="center"/>
            </w:pPr>
            <w:r>
              <w:rPr>
                <w:b/>
                <w:color w:val="000000"/>
                <w:sz w:val="18"/>
              </w:rPr>
              <w:t>завршено</w:t>
            </w:r>
          </w:p>
        </w:tc>
      </w:tr>
      <w:tr w:rsidR="00A52A9A" w14:paraId="583E4162" w14:textId="77777777" w:rsidTr="00A86A0C">
        <w:tblPrEx>
          <w:tblCellMar>
            <w:left w:w="115" w:type="dxa"/>
            <w:right w:w="115" w:type="dxa"/>
          </w:tblCellMar>
        </w:tblPrEx>
        <w:tc>
          <w:tcPr>
            <w:tcW w:w="4037" w:type="dxa"/>
            <w:vMerge/>
            <w:tcBorders>
              <w:top w:val="single" w:sz="8" w:space="0" w:color="000001"/>
              <w:left w:val="single" w:sz="8" w:space="0" w:color="000001"/>
              <w:right w:val="single" w:sz="8" w:space="0" w:color="000001"/>
            </w:tcBorders>
            <w:shd w:val="clear" w:color="auto" w:fill="FFFFFF"/>
            <w:vAlign w:val="center"/>
          </w:tcPr>
          <w:p w14:paraId="3D6E2F32"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471559EB" w14:textId="77777777" w:rsidR="00A52A9A" w:rsidRDefault="00A52A9A" w:rsidP="00A86A0C">
            <w:pPr>
              <w:pStyle w:val="TableContents"/>
              <w:jc w:val="both"/>
            </w:pPr>
          </w:p>
        </w:tc>
        <w:tc>
          <w:tcPr>
            <w:tcW w:w="1368"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9277486" w14:textId="77777777" w:rsidR="00A52A9A" w:rsidRDefault="00A52A9A" w:rsidP="00A86A0C">
            <w:pPr>
              <w:pStyle w:val="TableContents"/>
              <w:jc w:val="both"/>
            </w:pPr>
          </w:p>
        </w:tc>
        <w:tc>
          <w:tcPr>
            <w:tcW w:w="1382"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19ADFE97" w14:textId="77777777" w:rsidR="00A52A9A" w:rsidRDefault="00A52A9A" w:rsidP="00A86A0C">
            <w:pPr>
              <w:pStyle w:val="TableContents"/>
              <w:jc w:val="both"/>
            </w:pPr>
          </w:p>
        </w:tc>
        <w:tc>
          <w:tcPr>
            <w:tcW w:w="11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30CAC64" w14:textId="77777777" w:rsidR="00A52A9A" w:rsidRDefault="00A52A9A" w:rsidP="00A86A0C">
            <w:pPr>
              <w:pStyle w:val="TableContents"/>
              <w:jc w:val="both"/>
            </w:pPr>
          </w:p>
        </w:tc>
      </w:tr>
      <w:tr w:rsidR="00A52A9A" w14:paraId="1A414106" w14:textId="77777777" w:rsidTr="00A86A0C">
        <w:tc>
          <w:tcPr>
            <w:tcW w:w="4037" w:type="dxa"/>
            <w:tcBorders>
              <w:top w:val="single" w:sz="8" w:space="0" w:color="000001"/>
              <w:left w:val="single" w:sz="8" w:space="0" w:color="000001"/>
              <w:bottom w:val="single" w:sz="8" w:space="0" w:color="000001"/>
              <w:right w:val="single" w:sz="8" w:space="0" w:color="000001"/>
            </w:tcBorders>
            <w:shd w:val="clear" w:color="auto" w:fill="BDD6EE"/>
          </w:tcPr>
          <w:p w14:paraId="675F2A43" w14:textId="77777777" w:rsidR="00A52A9A" w:rsidRDefault="00A52A9A" w:rsidP="00A86A0C">
            <w:pPr>
              <w:pStyle w:val="TableContents"/>
              <w:jc w:val="center"/>
            </w:pPr>
            <w:r>
              <w:rPr>
                <w:b/>
                <w:sz w:val="20"/>
              </w:rPr>
              <w:t>Достигнувања</w:t>
            </w:r>
          </w:p>
        </w:tc>
        <w:tc>
          <w:tcPr>
            <w:tcW w:w="5308" w:type="dxa"/>
            <w:gridSpan w:val="7"/>
            <w:tcBorders>
              <w:top w:val="single" w:sz="8" w:space="0" w:color="000001"/>
              <w:left w:val="single" w:sz="8" w:space="0" w:color="000001"/>
              <w:bottom w:val="single" w:sz="8" w:space="0" w:color="000001"/>
              <w:right w:val="single" w:sz="8" w:space="0" w:color="000001"/>
            </w:tcBorders>
            <w:shd w:val="clear" w:color="auto" w:fill="BDD6EE"/>
          </w:tcPr>
          <w:p w14:paraId="48E52820"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1D30E129" w14:textId="77777777" w:rsidTr="00A86A0C">
        <w:tc>
          <w:tcPr>
            <w:tcW w:w="4037" w:type="dxa"/>
            <w:tcBorders>
              <w:top w:val="single" w:sz="8" w:space="0" w:color="000001"/>
              <w:left w:val="single" w:sz="8" w:space="0" w:color="000001"/>
              <w:bottom w:val="single" w:sz="8" w:space="0" w:color="000001"/>
              <w:right w:val="single" w:sz="8" w:space="0" w:color="000001"/>
            </w:tcBorders>
            <w:shd w:val="clear" w:color="auto" w:fill="DEEAF6"/>
          </w:tcPr>
          <w:p w14:paraId="54683E26" w14:textId="77777777" w:rsidR="00A52A9A" w:rsidRDefault="00A52A9A" w:rsidP="00A86A0C">
            <w:pPr>
              <w:pStyle w:val="TableContents"/>
              <w:spacing w:after="0"/>
              <w:jc w:val="both"/>
            </w:pPr>
            <w:r>
              <w:rPr>
                <w:b/>
                <w:sz w:val="20"/>
              </w:rPr>
              <w:t xml:space="preserve">2.3.1 Подготовка на листа на стандардни и дополнителни документи за објава во еден предмет. </w:t>
            </w:r>
          </w:p>
        </w:tc>
        <w:tc>
          <w:tcPr>
            <w:tcW w:w="5308"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3E250FC5" w14:textId="77777777" w:rsidR="00A52A9A" w:rsidRPr="009C1913" w:rsidRDefault="00A52A9A" w:rsidP="00A86A0C">
            <w:pPr>
              <w:pStyle w:val="TableContents"/>
              <w:jc w:val="both"/>
              <w:rPr>
                <w:sz w:val="20"/>
                <w:szCs w:val="20"/>
              </w:rPr>
            </w:pPr>
            <w:r w:rsidRPr="009C1913">
              <w:rPr>
                <w:sz w:val="20"/>
                <w:szCs w:val="20"/>
              </w:rPr>
              <w:t xml:space="preserve">На 29.03.2022 година одржана е работна средба  со засегнатите страни во рамки на оваа заложба, на којашто е  утврдена листа на документи и податоци кои треба да се објават на веб локацијата </w:t>
            </w:r>
            <w:proofErr w:type="spellStart"/>
            <w:r w:rsidRPr="009C1913">
              <w:rPr>
                <w:sz w:val="20"/>
                <w:szCs w:val="20"/>
              </w:rPr>
              <w:t>влада.мк</w:t>
            </w:r>
            <w:proofErr w:type="spellEnd"/>
            <w:r w:rsidRPr="009C1913">
              <w:rPr>
                <w:sz w:val="20"/>
                <w:szCs w:val="20"/>
              </w:rPr>
              <w:t>. Согласно оваа листа, документи и податоци за изборот на избрани/именувани лица ќе се објават ретроактивно од 03.01.2022 година и понатаму во континуитет ќе се објавуваат квартално.</w:t>
            </w:r>
          </w:p>
          <w:p w14:paraId="2EDADBD9" w14:textId="77777777" w:rsidR="00A52A9A" w:rsidRPr="009C1913" w:rsidRDefault="00A52A9A" w:rsidP="00A86A0C">
            <w:pPr>
              <w:pStyle w:val="TableContents"/>
              <w:jc w:val="both"/>
              <w:rPr>
                <w:sz w:val="20"/>
                <w:szCs w:val="20"/>
              </w:rPr>
            </w:pPr>
            <w:r w:rsidRPr="009C1913">
              <w:rPr>
                <w:sz w:val="20"/>
                <w:szCs w:val="20"/>
              </w:rPr>
              <w:t>Во насока на исполнување на оваа заложба, од страна на Кабинетот на заменикот на претседателот на Владата на РСМ, задолжен за политики за добро владеење, подготвена е информација која е во владина процедура.</w:t>
            </w:r>
          </w:p>
        </w:tc>
      </w:tr>
      <w:tr w:rsidR="00A52A9A" w14:paraId="2AF17BCC" w14:textId="77777777" w:rsidTr="00A86A0C">
        <w:tc>
          <w:tcPr>
            <w:tcW w:w="4037" w:type="dxa"/>
            <w:tcBorders>
              <w:top w:val="single" w:sz="8" w:space="0" w:color="000001"/>
              <w:left w:val="single" w:sz="8" w:space="0" w:color="000001"/>
              <w:bottom w:val="single" w:sz="8" w:space="0" w:color="000001"/>
              <w:right w:val="single" w:sz="8" w:space="0" w:color="000001"/>
            </w:tcBorders>
            <w:shd w:val="clear" w:color="auto" w:fill="DEEAF6"/>
          </w:tcPr>
          <w:p w14:paraId="773AA6C0" w14:textId="77777777" w:rsidR="00A52A9A" w:rsidRDefault="00A52A9A" w:rsidP="00A86A0C">
            <w:pPr>
              <w:pStyle w:val="TableContents"/>
              <w:spacing w:after="0"/>
              <w:jc w:val="both"/>
              <w:rPr>
                <w:b/>
                <w:sz w:val="20"/>
              </w:rPr>
            </w:pPr>
            <w:r>
              <w:rPr>
                <w:b/>
                <w:sz w:val="20"/>
              </w:rPr>
              <w:t xml:space="preserve">2.3.2 Објавување на предметите за именување на избраните/именуваните лица на порталот отворени податоци </w:t>
            </w:r>
          </w:p>
          <w:p w14:paraId="201C112F" w14:textId="77777777" w:rsidR="00A52A9A" w:rsidRDefault="00A52A9A" w:rsidP="00A86A0C">
            <w:pPr>
              <w:pStyle w:val="TableContents"/>
              <w:spacing w:after="0"/>
              <w:jc w:val="both"/>
            </w:pPr>
          </w:p>
        </w:tc>
        <w:tc>
          <w:tcPr>
            <w:tcW w:w="5308"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6FCBEE3F" w14:textId="77777777" w:rsidR="00A52A9A" w:rsidRPr="009C1913" w:rsidRDefault="00A52A9A" w:rsidP="00A86A0C">
            <w:pPr>
              <w:pStyle w:val="TableContents"/>
              <w:rPr>
                <w:sz w:val="20"/>
                <w:szCs w:val="20"/>
              </w:rPr>
            </w:pPr>
            <w:r w:rsidRPr="009C1913">
              <w:rPr>
                <w:sz w:val="20"/>
                <w:szCs w:val="20"/>
              </w:rPr>
              <w:t>Документот е во владина процедура.</w:t>
            </w:r>
          </w:p>
          <w:p w14:paraId="7D7FCD3C" w14:textId="77777777" w:rsidR="00A52A9A" w:rsidRDefault="00A52A9A" w:rsidP="00A86A0C">
            <w:pPr>
              <w:pStyle w:val="TableContents"/>
              <w:jc w:val="both"/>
            </w:pPr>
          </w:p>
        </w:tc>
      </w:tr>
      <w:tr w:rsidR="00A52A9A" w14:paraId="2CE354C0" w14:textId="77777777" w:rsidTr="00A86A0C">
        <w:tc>
          <w:tcPr>
            <w:tcW w:w="9345" w:type="dxa"/>
            <w:gridSpan w:val="8"/>
            <w:tcBorders>
              <w:top w:val="single" w:sz="8" w:space="0" w:color="000001"/>
              <w:left w:val="single" w:sz="8" w:space="0" w:color="000001"/>
              <w:bottom w:val="single" w:sz="8" w:space="0" w:color="000001"/>
              <w:right w:val="single" w:sz="8" w:space="0" w:color="000001"/>
            </w:tcBorders>
            <w:shd w:val="clear" w:color="auto" w:fill="1F4E79"/>
          </w:tcPr>
          <w:p w14:paraId="0D270479" w14:textId="77777777" w:rsidR="00A52A9A" w:rsidRDefault="00A52A9A" w:rsidP="00A86A0C">
            <w:pPr>
              <w:pStyle w:val="TableContents"/>
              <w:jc w:val="center"/>
            </w:pPr>
            <w:r>
              <w:rPr>
                <w:b/>
                <w:color w:val="FFFFFF"/>
                <w:sz w:val="22"/>
              </w:rPr>
              <w:t>Унапредување на испорака на јавни услуги</w:t>
            </w:r>
          </w:p>
        </w:tc>
      </w:tr>
      <w:tr w:rsidR="00A52A9A" w14:paraId="61D99D84"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28370578" w14:textId="77777777" w:rsidR="00A52A9A" w:rsidRDefault="00A52A9A" w:rsidP="00A86A0C">
            <w:pPr>
              <w:pStyle w:val="TableContents"/>
              <w:jc w:val="center"/>
            </w:pPr>
            <w:r>
              <w:rPr>
                <w:b/>
                <w:sz w:val="20"/>
              </w:rPr>
              <w:t xml:space="preserve">3.1 Јавни услуги и политики </w:t>
            </w:r>
            <w:proofErr w:type="spellStart"/>
            <w:r>
              <w:rPr>
                <w:b/>
                <w:sz w:val="20"/>
              </w:rPr>
              <w:t>темелени</w:t>
            </w:r>
            <w:proofErr w:type="spellEnd"/>
            <w:r>
              <w:rPr>
                <w:b/>
                <w:sz w:val="20"/>
              </w:rPr>
              <w:t xml:space="preserve"> на граѓанските приоритети од областа на вработувањето</w:t>
            </w:r>
          </w:p>
        </w:tc>
      </w:tr>
      <w:tr w:rsidR="00A52A9A" w14:paraId="6EADF409"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747CB162"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01.10.2021-30.09.2022</w:t>
            </w:r>
          </w:p>
        </w:tc>
      </w:tr>
      <w:tr w:rsidR="00A52A9A" w14:paraId="4D8D278D"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FFFFFF"/>
          </w:tcPr>
          <w:p w14:paraId="2277EBCA" w14:textId="77777777" w:rsidR="00A52A9A" w:rsidRDefault="00A52A9A" w:rsidP="00A86A0C">
            <w:pPr>
              <w:pStyle w:val="TableContents"/>
              <w:jc w:val="center"/>
            </w:pPr>
            <w:proofErr w:type="spellStart"/>
            <w:r>
              <w:rPr>
                <w:b/>
                <w:color w:val="000000"/>
                <w:sz w:val="20"/>
                <w:lang w:val="en-US"/>
              </w:rPr>
              <w:lastRenderedPageBreak/>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DEEAF6"/>
          </w:tcPr>
          <w:p w14:paraId="6D9D7B39" w14:textId="77777777" w:rsidR="00A52A9A" w:rsidRPr="00142F34" w:rsidRDefault="00A52A9A" w:rsidP="00A86A0C">
            <w:pPr>
              <w:pStyle w:val="TableContents"/>
              <w:jc w:val="center"/>
              <w:rPr>
                <w:sz w:val="20"/>
                <w:szCs w:val="20"/>
              </w:rPr>
            </w:pPr>
            <w:r w:rsidRPr="00142F34">
              <w:rPr>
                <w:sz w:val="20"/>
                <w:szCs w:val="20"/>
              </w:rPr>
              <w:t>Агенција за вработување на Република Северна Македонија</w:t>
            </w:r>
          </w:p>
        </w:tc>
      </w:tr>
      <w:tr w:rsidR="00A52A9A" w14:paraId="3110B68A" w14:textId="77777777" w:rsidTr="00A86A0C">
        <w:tblPrEx>
          <w:tblCellMar>
            <w:left w:w="115" w:type="dxa"/>
            <w:right w:w="115" w:type="dxa"/>
          </w:tblCellMar>
        </w:tblPrEx>
        <w:tc>
          <w:tcPr>
            <w:tcW w:w="4045" w:type="dxa"/>
            <w:gridSpan w:val="2"/>
            <w:vMerge w:val="restart"/>
            <w:tcBorders>
              <w:top w:val="single" w:sz="8" w:space="0" w:color="000001"/>
              <w:left w:val="single" w:sz="8" w:space="0" w:color="000001"/>
              <w:right w:val="single" w:sz="8" w:space="0" w:color="000001"/>
            </w:tcBorders>
            <w:shd w:val="clear" w:color="auto" w:fill="FFFFFF"/>
            <w:vAlign w:val="center"/>
          </w:tcPr>
          <w:p w14:paraId="3B333127" w14:textId="77777777" w:rsidR="00A52A9A" w:rsidRDefault="00A52A9A" w:rsidP="00A86A0C">
            <w:pPr>
              <w:pStyle w:val="TableContents"/>
              <w:spacing w:after="0"/>
              <w:jc w:val="center"/>
            </w:pPr>
            <w:r>
              <w:rPr>
                <w:b/>
                <w:sz w:val="20"/>
              </w:rPr>
              <w:t>Статус на реализација на заложбата</w:t>
            </w:r>
          </w:p>
          <w:p w14:paraId="35F17258"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ABC7742"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7B37D7EB" w14:textId="77777777" w:rsidR="00A52A9A" w:rsidRDefault="00A52A9A" w:rsidP="00A86A0C">
            <w:pPr>
              <w:pStyle w:val="TableContents"/>
              <w:jc w:val="center"/>
            </w:pPr>
            <w:r>
              <w:rPr>
                <w:b/>
                <w:color w:val="000000"/>
                <w:sz w:val="18"/>
              </w:rPr>
              <w:t>ограничено</w:t>
            </w: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8635460" w14:textId="77777777" w:rsidR="00A52A9A" w:rsidRDefault="00A52A9A" w:rsidP="00A86A0C">
            <w:pPr>
              <w:pStyle w:val="TableContents"/>
              <w:jc w:val="center"/>
            </w:pPr>
            <w:r>
              <w:rPr>
                <w:b/>
                <w:color w:val="000000"/>
                <w:sz w:val="18"/>
              </w:rPr>
              <w:t>значително</w:t>
            </w: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5A8A00D" w14:textId="77777777" w:rsidR="00A52A9A" w:rsidRDefault="00A52A9A" w:rsidP="00A86A0C">
            <w:pPr>
              <w:pStyle w:val="TableContents"/>
              <w:jc w:val="center"/>
            </w:pPr>
            <w:r>
              <w:rPr>
                <w:b/>
                <w:color w:val="000000"/>
                <w:sz w:val="18"/>
              </w:rPr>
              <w:t>завршено</w:t>
            </w:r>
          </w:p>
        </w:tc>
      </w:tr>
      <w:tr w:rsidR="00A52A9A" w14:paraId="3813B2B0" w14:textId="77777777" w:rsidTr="00A86A0C">
        <w:tblPrEx>
          <w:tblCellMar>
            <w:left w:w="115" w:type="dxa"/>
            <w:right w:w="115" w:type="dxa"/>
          </w:tblCellMar>
        </w:tblPrEx>
        <w:tc>
          <w:tcPr>
            <w:tcW w:w="4045" w:type="dxa"/>
            <w:gridSpan w:val="2"/>
            <w:vMerge/>
            <w:tcBorders>
              <w:top w:val="single" w:sz="8" w:space="0" w:color="000001"/>
              <w:left w:val="single" w:sz="8" w:space="0" w:color="000001"/>
              <w:right w:val="single" w:sz="8" w:space="0" w:color="000001"/>
            </w:tcBorders>
            <w:shd w:val="clear" w:color="auto" w:fill="FFFFFF"/>
            <w:vAlign w:val="center"/>
          </w:tcPr>
          <w:p w14:paraId="69379F3A"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5E45EC5" w14:textId="77777777" w:rsidR="00A52A9A" w:rsidRDefault="00A52A9A" w:rsidP="00A86A0C">
            <w:pPr>
              <w:pStyle w:val="TableContents"/>
              <w:jc w:val="both"/>
            </w:pPr>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75147837" w14:textId="77777777" w:rsidR="00A52A9A" w:rsidRDefault="00A52A9A" w:rsidP="00A86A0C">
            <w:pPr>
              <w:pStyle w:val="TableContents"/>
              <w:jc w:val="both"/>
            </w:pP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D54CF37" w14:textId="77777777" w:rsidR="00A52A9A" w:rsidRDefault="00A52A9A" w:rsidP="00A86A0C">
            <w:pPr>
              <w:pStyle w:val="TableContents"/>
              <w:jc w:val="both"/>
            </w:pP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99E46ED" w14:textId="77777777" w:rsidR="00A52A9A" w:rsidRDefault="00A52A9A" w:rsidP="00A86A0C">
            <w:pPr>
              <w:pStyle w:val="TableContents"/>
              <w:jc w:val="both"/>
            </w:pPr>
          </w:p>
        </w:tc>
      </w:tr>
      <w:tr w:rsidR="00A52A9A" w14:paraId="653E22F4"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BDD6EE"/>
          </w:tcPr>
          <w:p w14:paraId="66BAD371" w14:textId="77777777" w:rsidR="00A52A9A" w:rsidRDefault="00A52A9A" w:rsidP="00A86A0C">
            <w:pPr>
              <w:pStyle w:val="TableContents"/>
              <w:jc w:val="center"/>
            </w:pPr>
            <w:r>
              <w:rPr>
                <w:b/>
                <w:sz w:val="20"/>
              </w:rPr>
              <w:t>Достигнувања</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BDD6EE"/>
          </w:tcPr>
          <w:p w14:paraId="284E7729"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27DC5502"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1BCFDA49" w14:textId="77777777" w:rsidR="00A52A9A" w:rsidRDefault="00A52A9A" w:rsidP="00A86A0C">
            <w:pPr>
              <w:pStyle w:val="TableContents"/>
              <w:spacing w:after="0"/>
              <w:jc w:val="both"/>
            </w:pPr>
            <w:r>
              <w:rPr>
                <w:b/>
                <w:sz w:val="20"/>
              </w:rPr>
              <w:t xml:space="preserve">3.1.1 Формирано координативно тело составено од седум члена кои ќе работат на координација на активностите и тоа: по еден претставник од секоја граѓанска организација вклучена во оваа активност (5 претставници на граѓански организации, од кои една од национално и четири од локално ниво), еден претставник од секторот труд во рамки на Министерството за труд и социјална политика и еден претставник на Агенцијата за вработување. </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0FF5EEBA" w14:textId="77777777" w:rsidR="00A52A9A" w:rsidRPr="009C1913" w:rsidRDefault="00A52A9A" w:rsidP="00A86A0C">
            <w:pPr>
              <w:pStyle w:val="TableContents"/>
              <w:jc w:val="both"/>
              <w:rPr>
                <w:sz w:val="20"/>
                <w:szCs w:val="20"/>
              </w:rPr>
            </w:pPr>
            <w:r w:rsidRPr="009C1913">
              <w:rPr>
                <w:sz w:val="20"/>
                <w:szCs w:val="20"/>
              </w:rPr>
              <w:t>Формирано координативно тело составено од седум члена кои ќе работат на координација на активностите и тоа: по еден претставник од секоја граѓанска организација вклучена во оваа активност (5 претставници на граѓански организации, од кои една од национално и четири од локално ниво), еден претставник од секторот труд во рамки на Министерството за труд и социјална политика и еден претставник на Агенцијата за вработување.</w:t>
            </w:r>
          </w:p>
          <w:p w14:paraId="68D3FEA1" w14:textId="77777777" w:rsidR="00A52A9A" w:rsidRDefault="00A52A9A" w:rsidP="00A86A0C">
            <w:pPr>
              <w:pStyle w:val="TableContents"/>
              <w:jc w:val="both"/>
            </w:pPr>
          </w:p>
        </w:tc>
      </w:tr>
      <w:tr w:rsidR="00A52A9A" w14:paraId="333E9535"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4AB6047E" w14:textId="77777777" w:rsidR="00A52A9A" w:rsidRDefault="00A52A9A" w:rsidP="00A86A0C">
            <w:pPr>
              <w:pStyle w:val="TableContents"/>
              <w:spacing w:after="0"/>
              <w:jc w:val="both"/>
            </w:pPr>
            <w:r>
              <w:rPr>
                <w:b/>
                <w:sz w:val="20"/>
              </w:rPr>
              <w:t>3.1.2 Развиена електронска платформа за информирање, следење, вклучување на граѓани во активните политики и услуги за вработување и задолжително предвидување на механизам за прибирање, разгледување и обезбедување на одговор на секој од прибраните предлози од граѓаните.</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43D73CA6" w14:textId="77777777" w:rsidR="00A52A9A" w:rsidRDefault="00A52A9A" w:rsidP="00A86A0C">
            <w:pPr>
              <w:pStyle w:val="TableContents"/>
              <w:jc w:val="both"/>
            </w:pPr>
          </w:p>
        </w:tc>
      </w:tr>
      <w:tr w:rsidR="00A52A9A" w14:paraId="129CBB16"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02EED11F" w14:textId="77777777" w:rsidR="00A52A9A" w:rsidRDefault="00A52A9A" w:rsidP="00A86A0C">
            <w:pPr>
              <w:pStyle w:val="TableContents"/>
              <w:spacing w:after="0"/>
              <w:jc w:val="both"/>
            </w:pPr>
            <w:r>
              <w:rPr>
                <w:b/>
                <w:sz w:val="20"/>
              </w:rPr>
              <w:t>3.1.3 Спроведена кампања за информирање на јавноста за можностите кои ги нуди платформата, преку развој и спроведување на комуникациска стратегија.</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1ED954F3" w14:textId="77777777" w:rsidR="00A52A9A" w:rsidRDefault="00A52A9A" w:rsidP="00A86A0C">
            <w:pPr>
              <w:pStyle w:val="TableContents"/>
              <w:jc w:val="both"/>
            </w:pPr>
          </w:p>
        </w:tc>
      </w:tr>
      <w:tr w:rsidR="00A52A9A" w14:paraId="3CC98D3C"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21C1E614" w14:textId="77777777" w:rsidR="00A52A9A" w:rsidRDefault="00A52A9A" w:rsidP="00A86A0C">
            <w:pPr>
              <w:pStyle w:val="TableContents"/>
              <w:spacing w:after="0"/>
              <w:jc w:val="both"/>
              <w:rPr>
                <w:b/>
                <w:sz w:val="20"/>
              </w:rPr>
            </w:pPr>
            <w:r>
              <w:rPr>
                <w:b/>
                <w:sz w:val="20"/>
              </w:rPr>
              <w:t xml:space="preserve">3.1.4 Воспоставена пилот соработка со ГО од Тетово, Куманово, Шуто Оризари и Прилеп за идентификување на невработените нерегистрирани граѓани и граѓаните од ранливи </w:t>
            </w:r>
            <w:r>
              <w:rPr>
                <w:b/>
                <w:sz w:val="20"/>
              </w:rPr>
              <w:lastRenderedPageBreak/>
              <w:t xml:space="preserve">категории со цел спроведување на активности за запознавање на граѓаните со нивните правата кои произлегуваат од активните политики и услуги за вработување преку користење на мултидисциплинарен пристап, како и </w:t>
            </w:r>
            <w:proofErr w:type="spellStart"/>
            <w:r>
              <w:rPr>
                <w:b/>
                <w:sz w:val="20"/>
              </w:rPr>
              <w:t>фацилитирање</w:t>
            </w:r>
            <w:proofErr w:type="spellEnd"/>
            <w:r>
              <w:rPr>
                <w:b/>
                <w:sz w:val="20"/>
              </w:rPr>
              <w:t xml:space="preserve"> на процесот на искажување на мислењата и предлозите на граѓаните пред надлежните институции со користење на развиената платформа.</w:t>
            </w:r>
          </w:p>
          <w:p w14:paraId="26A451C1" w14:textId="77777777" w:rsidR="00A52A9A" w:rsidRDefault="00A52A9A" w:rsidP="00A86A0C">
            <w:pPr>
              <w:pStyle w:val="TableContents"/>
              <w:spacing w:after="0"/>
              <w:jc w:val="both"/>
            </w:pP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08E10D58" w14:textId="77777777" w:rsidR="00A52A9A" w:rsidRDefault="00A52A9A" w:rsidP="00A86A0C">
            <w:pPr>
              <w:pStyle w:val="TableContents"/>
              <w:jc w:val="both"/>
            </w:pPr>
          </w:p>
        </w:tc>
      </w:tr>
      <w:tr w:rsidR="00A52A9A" w14:paraId="69D89493"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1B3C0D57" w14:textId="77777777" w:rsidR="00A52A9A" w:rsidRDefault="00A52A9A" w:rsidP="00A86A0C">
            <w:pPr>
              <w:pStyle w:val="TableContents"/>
              <w:jc w:val="center"/>
            </w:pPr>
            <w:r>
              <w:rPr>
                <w:b/>
                <w:sz w:val="20"/>
              </w:rPr>
              <w:t xml:space="preserve">3.2 Јавни услуги и политики </w:t>
            </w:r>
            <w:proofErr w:type="spellStart"/>
            <w:r>
              <w:rPr>
                <w:b/>
                <w:sz w:val="20"/>
              </w:rPr>
              <w:t>темелени</w:t>
            </w:r>
            <w:proofErr w:type="spellEnd"/>
            <w:r>
              <w:rPr>
                <w:b/>
                <w:sz w:val="20"/>
              </w:rPr>
              <w:t xml:space="preserve"> на граѓанските приоритети од областа на превентивната здравствена заштита</w:t>
            </w:r>
          </w:p>
        </w:tc>
      </w:tr>
      <w:tr w:rsidR="00A52A9A" w14:paraId="14941DDD"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34C8C0AB"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01.10.2021-30.09.2023</w:t>
            </w:r>
          </w:p>
        </w:tc>
      </w:tr>
      <w:tr w:rsidR="00A52A9A" w14:paraId="0353115F"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FFFFFF"/>
          </w:tcPr>
          <w:p w14:paraId="114A748A"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DEEAF6"/>
          </w:tcPr>
          <w:p w14:paraId="70659005" w14:textId="77777777" w:rsidR="00A52A9A" w:rsidRPr="00142F34" w:rsidRDefault="00A52A9A" w:rsidP="00A86A0C">
            <w:pPr>
              <w:pStyle w:val="TableContents"/>
              <w:jc w:val="center"/>
              <w:rPr>
                <w:sz w:val="20"/>
                <w:szCs w:val="20"/>
              </w:rPr>
            </w:pPr>
            <w:r w:rsidRPr="00142F34">
              <w:rPr>
                <w:sz w:val="20"/>
                <w:szCs w:val="20"/>
              </w:rPr>
              <w:t>Министерство за здравство</w:t>
            </w:r>
          </w:p>
        </w:tc>
      </w:tr>
      <w:tr w:rsidR="00A52A9A" w14:paraId="464337F1" w14:textId="77777777" w:rsidTr="00A86A0C">
        <w:tblPrEx>
          <w:tblCellMar>
            <w:left w:w="115" w:type="dxa"/>
            <w:right w:w="115" w:type="dxa"/>
          </w:tblCellMar>
        </w:tblPrEx>
        <w:tc>
          <w:tcPr>
            <w:tcW w:w="4045" w:type="dxa"/>
            <w:gridSpan w:val="2"/>
            <w:vMerge w:val="restart"/>
            <w:tcBorders>
              <w:top w:val="single" w:sz="8" w:space="0" w:color="000001"/>
              <w:left w:val="single" w:sz="8" w:space="0" w:color="000001"/>
              <w:right w:val="single" w:sz="8" w:space="0" w:color="000001"/>
            </w:tcBorders>
            <w:shd w:val="clear" w:color="auto" w:fill="FFFFFF"/>
            <w:vAlign w:val="center"/>
          </w:tcPr>
          <w:p w14:paraId="24CE1F3D" w14:textId="77777777" w:rsidR="00A52A9A" w:rsidRDefault="00A52A9A" w:rsidP="00A86A0C">
            <w:pPr>
              <w:pStyle w:val="TableContents"/>
              <w:spacing w:after="0"/>
              <w:jc w:val="center"/>
            </w:pPr>
            <w:r>
              <w:rPr>
                <w:b/>
                <w:sz w:val="20"/>
              </w:rPr>
              <w:t>Статус на реализација на заложбата</w:t>
            </w:r>
          </w:p>
          <w:p w14:paraId="129123B5"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6513983D"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3BC452EC" w14:textId="77777777" w:rsidR="00A52A9A" w:rsidRDefault="00A52A9A" w:rsidP="00A86A0C">
            <w:pPr>
              <w:pStyle w:val="TableContents"/>
              <w:jc w:val="center"/>
            </w:pPr>
            <w:r>
              <w:rPr>
                <w:b/>
                <w:color w:val="000000"/>
                <w:sz w:val="18"/>
              </w:rPr>
              <w:t>ограничено</w:t>
            </w: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75ADFDC0" w14:textId="77777777" w:rsidR="00A52A9A" w:rsidRDefault="00A52A9A" w:rsidP="00A86A0C">
            <w:pPr>
              <w:pStyle w:val="TableContents"/>
              <w:jc w:val="center"/>
            </w:pPr>
            <w:r>
              <w:rPr>
                <w:b/>
                <w:color w:val="000000"/>
                <w:sz w:val="18"/>
              </w:rPr>
              <w:t>значително</w:t>
            </w: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EEC9CAC" w14:textId="77777777" w:rsidR="00A52A9A" w:rsidRDefault="00A52A9A" w:rsidP="00A86A0C">
            <w:pPr>
              <w:pStyle w:val="TableContents"/>
              <w:jc w:val="center"/>
            </w:pPr>
            <w:r>
              <w:rPr>
                <w:b/>
                <w:color w:val="000000"/>
                <w:sz w:val="18"/>
              </w:rPr>
              <w:t>завршено</w:t>
            </w:r>
          </w:p>
        </w:tc>
      </w:tr>
      <w:tr w:rsidR="00A52A9A" w14:paraId="3B7BC257" w14:textId="77777777" w:rsidTr="00A86A0C">
        <w:tblPrEx>
          <w:tblCellMar>
            <w:left w:w="115" w:type="dxa"/>
            <w:right w:w="115" w:type="dxa"/>
          </w:tblCellMar>
        </w:tblPrEx>
        <w:tc>
          <w:tcPr>
            <w:tcW w:w="4045" w:type="dxa"/>
            <w:gridSpan w:val="2"/>
            <w:vMerge/>
            <w:tcBorders>
              <w:top w:val="single" w:sz="8" w:space="0" w:color="000001"/>
              <w:left w:val="single" w:sz="8" w:space="0" w:color="000001"/>
              <w:right w:val="single" w:sz="8" w:space="0" w:color="000001"/>
            </w:tcBorders>
            <w:shd w:val="clear" w:color="auto" w:fill="FFFFFF"/>
            <w:vAlign w:val="center"/>
          </w:tcPr>
          <w:p w14:paraId="1BC60101"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6213EC9" w14:textId="77777777" w:rsidR="00A52A9A" w:rsidRDefault="00A52A9A" w:rsidP="00A86A0C">
            <w:pPr>
              <w:pStyle w:val="TableContents"/>
              <w:jc w:val="both"/>
            </w:pPr>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14725A12" w14:textId="77777777" w:rsidR="00A52A9A" w:rsidRDefault="00A52A9A" w:rsidP="00A86A0C">
            <w:pPr>
              <w:pStyle w:val="TableContents"/>
              <w:jc w:val="both"/>
            </w:pP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1F62F19" w14:textId="77777777" w:rsidR="00A52A9A" w:rsidRDefault="00A52A9A" w:rsidP="00A86A0C">
            <w:pPr>
              <w:pStyle w:val="TableContents"/>
              <w:jc w:val="both"/>
            </w:pP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C797B4B" w14:textId="77777777" w:rsidR="00A52A9A" w:rsidRDefault="00A52A9A" w:rsidP="00A86A0C">
            <w:pPr>
              <w:pStyle w:val="TableContents"/>
              <w:jc w:val="both"/>
            </w:pPr>
          </w:p>
        </w:tc>
      </w:tr>
      <w:tr w:rsidR="00A52A9A" w14:paraId="18049C54"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BDD6EE"/>
          </w:tcPr>
          <w:p w14:paraId="15DB6923" w14:textId="77777777" w:rsidR="00A52A9A" w:rsidRDefault="00A52A9A" w:rsidP="00A86A0C">
            <w:pPr>
              <w:pStyle w:val="TableContents"/>
              <w:jc w:val="center"/>
            </w:pPr>
            <w:r>
              <w:rPr>
                <w:b/>
                <w:sz w:val="20"/>
              </w:rPr>
              <w:t>Достигнувања</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BDD6EE"/>
          </w:tcPr>
          <w:p w14:paraId="1D5D1BEA"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6F0AE079"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03EDFE76" w14:textId="77777777" w:rsidR="00A52A9A" w:rsidRDefault="00A52A9A" w:rsidP="00A86A0C">
            <w:pPr>
              <w:pStyle w:val="TableContents"/>
              <w:spacing w:after="0"/>
              <w:jc w:val="both"/>
            </w:pPr>
            <w:r>
              <w:rPr>
                <w:b/>
                <w:sz w:val="20"/>
              </w:rPr>
              <w:t xml:space="preserve">3.2.1 Формирано координативно тело составено од седум члена кои ќе работат на координација на активностите, а кое ќе го сочинуваат: по еден претставник од секоја граѓанска организација вклучена во оваа активност (5 претставници на граѓански организации, од кои една од национално и четири од локално ниво) и четири претставници на Министерството за здравство од кои еден одговорен за превентивна здравствена заштита, еден претставник од секторот за стратешко планирање. Еден претставник на кабинетот на министерот и еден одговорен за финансии. </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5C47B454" w14:textId="77777777" w:rsidR="00A52A9A" w:rsidRPr="009C1913" w:rsidRDefault="00A52A9A" w:rsidP="00A86A0C">
            <w:pPr>
              <w:pStyle w:val="TableContents"/>
              <w:jc w:val="both"/>
              <w:rPr>
                <w:sz w:val="20"/>
                <w:szCs w:val="20"/>
              </w:rPr>
            </w:pPr>
            <w:r w:rsidRPr="009C1913">
              <w:rPr>
                <w:sz w:val="20"/>
                <w:szCs w:val="20"/>
              </w:rPr>
              <w:t>Подготвен и испратен до ЕСЕ Допис за номинација на претставници од Министерството за здравство со цел учество во координативното тело.</w:t>
            </w:r>
          </w:p>
          <w:p w14:paraId="45DDF4F3" w14:textId="77777777" w:rsidR="00A52A9A" w:rsidRDefault="00A52A9A" w:rsidP="00A86A0C">
            <w:pPr>
              <w:pStyle w:val="TableContents"/>
              <w:jc w:val="both"/>
            </w:pPr>
          </w:p>
        </w:tc>
      </w:tr>
      <w:tr w:rsidR="00A52A9A" w14:paraId="6F0D3F80"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0F5265C4" w14:textId="77777777" w:rsidR="00A52A9A" w:rsidRDefault="00A52A9A" w:rsidP="00A86A0C">
            <w:pPr>
              <w:pStyle w:val="TableContents"/>
              <w:spacing w:after="0"/>
              <w:jc w:val="both"/>
            </w:pPr>
            <w:r>
              <w:rPr>
                <w:b/>
                <w:sz w:val="20"/>
              </w:rPr>
              <w:lastRenderedPageBreak/>
              <w:t>3.2.2 Развивање и објавување на електронска платформа за информирање, следење, вклучување на граѓани во програмите за превентивна здравствена заштита и задолжително предвидување на механизам за прибирање, разгледување и обезбедување на одговор на секој од прибраните предлози од граѓаните.</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6716C194" w14:textId="77777777" w:rsidR="00A52A9A" w:rsidRDefault="00A52A9A" w:rsidP="00A86A0C">
            <w:pPr>
              <w:pStyle w:val="TableContents"/>
              <w:jc w:val="both"/>
            </w:pPr>
          </w:p>
        </w:tc>
      </w:tr>
      <w:tr w:rsidR="00A52A9A" w14:paraId="55D0634A"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6A4A118D" w14:textId="77777777" w:rsidR="00A52A9A" w:rsidRDefault="00A52A9A" w:rsidP="00A86A0C">
            <w:pPr>
              <w:pStyle w:val="TableContents"/>
              <w:spacing w:after="0"/>
              <w:jc w:val="both"/>
            </w:pPr>
            <w:r>
              <w:rPr>
                <w:b/>
                <w:sz w:val="20"/>
              </w:rPr>
              <w:t>3.2.3 Спроведена кампања за информирање на јавноста за можностите кои ги нуди платформата, преку развој и спроведување на комуникациска стратегија.</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36903866" w14:textId="77777777" w:rsidR="00A52A9A" w:rsidRDefault="00A52A9A" w:rsidP="00A86A0C">
            <w:pPr>
              <w:pStyle w:val="TableContents"/>
              <w:jc w:val="both"/>
            </w:pPr>
          </w:p>
        </w:tc>
      </w:tr>
      <w:tr w:rsidR="00A52A9A" w:rsidRPr="009C1913" w14:paraId="3031C56C"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367DFD9A" w14:textId="77777777" w:rsidR="00A52A9A" w:rsidRDefault="00A52A9A" w:rsidP="00A86A0C">
            <w:pPr>
              <w:pStyle w:val="TableContents"/>
              <w:spacing w:after="0"/>
              <w:jc w:val="both"/>
            </w:pPr>
            <w:r>
              <w:rPr>
                <w:b/>
                <w:sz w:val="20"/>
              </w:rPr>
              <w:t xml:space="preserve">3.2.4 Воспоставена пилот соработка со ГО од Тетово, Куманово, Шуто Оризари и Прилеп за идентификување на жените и децата од ранливи категории со цел спроведување на активности за запознавање на со нивните правата кои произлегуваат од програмите за превентивна заштита. </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1A76D01E" w14:textId="77777777" w:rsidR="00A52A9A" w:rsidRPr="009C1913" w:rsidRDefault="00A52A9A" w:rsidP="00A86A0C">
            <w:pPr>
              <w:pStyle w:val="TableContents"/>
              <w:jc w:val="both"/>
              <w:rPr>
                <w:sz w:val="20"/>
                <w:szCs w:val="20"/>
              </w:rPr>
            </w:pPr>
            <w:r w:rsidRPr="009C1913">
              <w:rPr>
                <w:sz w:val="20"/>
                <w:szCs w:val="20"/>
              </w:rPr>
              <w:t>Воспоставена пилот соработка со ГО од Тетово, Куманово, Шуто Оризари и Прилеп  за идентификување на жените и децата од ранливи категории со цел спроведување на активности за запознавање на со нивните правата кои произлегуваат од програмите за превентивна заштита.</w:t>
            </w:r>
            <w:hyperlink w:anchor="_ftn1" w:history="1">
              <w:r w:rsidRPr="009C1913">
                <w:rPr>
                  <w:rStyle w:val="Hyperlink"/>
                  <w:sz w:val="20"/>
                  <w:szCs w:val="20"/>
                </w:rPr>
                <w:t>[1]</w:t>
              </w:r>
            </w:hyperlink>
          </w:p>
          <w:p w14:paraId="5B1ADA33" w14:textId="77777777" w:rsidR="00A52A9A" w:rsidRPr="009C1913" w:rsidRDefault="00000000" w:rsidP="00A86A0C">
            <w:pPr>
              <w:pStyle w:val="TableContents"/>
              <w:jc w:val="both"/>
              <w:rPr>
                <w:sz w:val="20"/>
                <w:szCs w:val="20"/>
              </w:rPr>
            </w:pPr>
            <w:hyperlink w:anchor="_ftnref1" w:history="1">
              <w:r w:rsidR="00A52A9A" w:rsidRPr="009C1913">
                <w:rPr>
                  <w:rStyle w:val="Hyperlink"/>
                  <w:sz w:val="20"/>
                  <w:szCs w:val="20"/>
                </w:rPr>
                <w:t>[1]</w:t>
              </w:r>
            </w:hyperlink>
            <w:r w:rsidR="00A52A9A" w:rsidRPr="009C1913">
              <w:rPr>
                <w:sz w:val="20"/>
                <w:szCs w:val="20"/>
              </w:rPr>
              <w:t xml:space="preserve">Програма за активна здравствена заштита на мајки и деца, Програма за рана детекција на малигни заболувања, програма за систематски прегледи, Програма за ослободување од партиципација, програма за јавно здравје  кои во себе содржат услуги за наменети за нив, преку користење на мултидисциплинарен пристап, како и </w:t>
            </w:r>
            <w:proofErr w:type="spellStart"/>
            <w:r w:rsidR="00A52A9A" w:rsidRPr="009C1913">
              <w:rPr>
                <w:sz w:val="20"/>
                <w:szCs w:val="20"/>
              </w:rPr>
              <w:t>фацилитирање</w:t>
            </w:r>
            <w:proofErr w:type="spellEnd"/>
            <w:r w:rsidR="00A52A9A" w:rsidRPr="009C1913">
              <w:rPr>
                <w:sz w:val="20"/>
                <w:szCs w:val="20"/>
              </w:rPr>
              <w:t xml:space="preserve"> на процесот на искажување на мислењата и предлозите на жените и мајките пред надлежните институции со користење на развиената платформа.  Пилотирањето ќе се однесува само за оние програми наменети за превентивна здравствена заштита на жени, мајки и деца.</w:t>
            </w:r>
          </w:p>
        </w:tc>
      </w:tr>
      <w:tr w:rsidR="00A52A9A" w14:paraId="5379A7F4"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006F937C" w14:textId="77777777" w:rsidR="00A52A9A" w:rsidRDefault="00A52A9A" w:rsidP="00A86A0C">
            <w:pPr>
              <w:pStyle w:val="TableContents"/>
              <w:jc w:val="center"/>
            </w:pPr>
            <w:r>
              <w:rPr>
                <w:b/>
                <w:sz w:val="20"/>
              </w:rPr>
              <w:t xml:space="preserve">3.3 Јавни услуги и политики </w:t>
            </w:r>
            <w:proofErr w:type="spellStart"/>
            <w:r>
              <w:rPr>
                <w:b/>
                <w:sz w:val="20"/>
              </w:rPr>
              <w:t>темелени</w:t>
            </w:r>
            <w:proofErr w:type="spellEnd"/>
            <w:r>
              <w:rPr>
                <w:b/>
                <w:sz w:val="20"/>
              </w:rPr>
              <w:t xml:space="preserve"> на граѓанските приоритети од </w:t>
            </w:r>
            <w:proofErr w:type="spellStart"/>
            <w:r>
              <w:rPr>
                <w:b/>
                <w:sz w:val="20"/>
              </w:rPr>
              <w:t>областa</w:t>
            </w:r>
            <w:proofErr w:type="spellEnd"/>
            <w:r>
              <w:rPr>
                <w:b/>
                <w:sz w:val="20"/>
              </w:rPr>
              <w:t xml:space="preserve"> на образовани</w:t>
            </w:r>
            <w:r>
              <w:rPr>
                <w:b/>
                <w:sz w:val="20"/>
                <w:lang w:val="en-US"/>
              </w:rPr>
              <w:t>e</w:t>
            </w:r>
            <w:proofErr w:type="spellStart"/>
            <w:r>
              <w:rPr>
                <w:b/>
                <w:sz w:val="20"/>
              </w:rPr>
              <w:t>то</w:t>
            </w:r>
            <w:proofErr w:type="spellEnd"/>
          </w:p>
        </w:tc>
      </w:tr>
      <w:tr w:rsidR="00A52A9A" w14:paraId="48278F97"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7D2D2669"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01.10.2021-30.09.2023</w:t>
            </w:r>
          </w:p>
        </w:tc>
      </w:tr>
      <w:tr w:rsidR="00A52A9A" w14:paraId="2B87CF6D"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FFFFFF"/>
          </w:tcPr>
          <w:p w14:paraId="30BC8107" w14:textId="77777777" w:rsidR="00A52A9A" w:rsidRDefault="00A52A9A" w:rsidP="00A86A0C">
            <w:pPr>
              <w:pStyle w:val="TableContents"/>
              <w:jc w:val="center"/>
            </w:pPr>
            <w:proofErr w:type="spellStart"/>
            <w:r>
              <w:rPr>
                <w:b/>
                <w:color w:val="000000"/>
                <w:sz w:val="20"/>
                <w:lang w:val="en-US"/>
              </w:rPr>
              <w:lastRenderedPageBreak/>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DEEAF6"/>
          </w:tcPr>
          <w:p w14:paraId="4AAEB5F8" w14:textId="77777777" w:rsidR="00A52A9A" w:rsidRPr="00142F34" w:rsidRDefault="00A52A9A" w:rsidP="00A86A0C">
            <w:pPr>
              <w:pStyle w:val="TableContents"/>
              <w:jc w:val="center"/>
              <w:rPr>
                <w:sz w:val="20"/>
                <w:szCs w:val="20"/>
              </w:rPr>
            </w:pPr>
            <w:r w:rsidRPr="00142F34">
              <w:rPr>
                <w:sz w:val="20"/>
                <w:szCs w:val="20"/>
              </w:rPr>
              <w:t>Министерство за образование и наука</w:t>
            </w:r>
          </w:p>
        </w:tc>
      </w:tr>
      <w:tr w:rsidR="00A52A9A" w14:paraId="1CEBA740" w14:textId="77777777" w:rsidTr="00A86A0C">
        <w:tblPrEx>
          <w:tblCellMar>
            <w:left w:w="115" w:type="dxa"/>
            <w:right w:w="115" w:type="dxa"/>
          </w:tblCellMar>
        </w:tblPrEx>
        <w:tc>
          <w:tcPr>
            <w:tcW w:w="4045" w:type="dxa"/>
            <w:gridSpan w:val="2"/>
            <w:vMerge w:val="restart"/>
            <w:tcBorders>
              <w:top w:val="single" w:sz="8" w:space="0" w:color="000001"/>
              <w:left w:val="single" w:sz="8" w:space="0" w:color="000001"/>
              <w:right w:val="single" w:sz="8" w:space="0" w:color="000001"/>
            </w:tcBorders>
            <w:shd w:val="clear" w:color="auto" w:fill="FFFFFF"/>
            <w:vAlign w:val="center"/>
          </w:tcPr>
          <w:p w14:paraId="142D4465" w14:textId="77777777" w:rsidR="00A52A9A" w:rsidRDefault="00A52A9A" w:rsidP="00A86A0C">
            <w:pPr>
              <w:pStyle w:val="TableContents"/>
              <w:spacing w:after="0"/>
              <w:jc w:val="center"/>
            </w:pPr>
            <w:r>
              <w:rPr>
                <w:b/>
                <w:sz w:val="20"/>
              </w:rPr>
              <w:t>Статус на реализација на заложбата</w:t>
            </w:r>
          </w:p>
          <w:p w14:paraId="27A58839"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467A8A9"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67BE067A" w14:textId="77777777" w:rsidR="00A52A9A" w:rsidRDefault="00A52A9A" w:rsidP="00A86A0C">
            <w:pPr>
              <w:pStyle w:val="TableContents"/>
              <w:jc w:val="center"/>
            </w:pPr>
            <w:r>
              <w:rPr>
                <w:b/>
                <w:color w:val="000000"/>
                <w:sz w:val="18"/>
              </w:rPr>
              <w:t>ограничено</w:t>
            </w: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B612C" w14:textId="77777777" w:rsidR="00A52A9A" w:rsidRDefault="00A52A9A" w:rsidP="00A86A0C">
            <w:pPr>
              <w:pStyle w:val="TableContents"/>
              <w:jc w:val="center"/>
            </w:pPr>
            <w:r>
              <w:rPr>
                <w:b/>
                <w:color w:val="000000"/>
                <w:sz w:val="18"/>
              </w:rPr>
              <w:t>значително</w:t>
            </w: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F9B8935" w14:textId="77777777" w:rsidR="00A52A9A" w:rsidRDefault="00A52A9A" w:rsidP="00A86A0C">
            <w:pPr>
              <w:pStyle w:val="TableContents"/>
              <w:jc w:val="center"/>
            </w:pPr>
            <w:r>
              <w:rPr>
                <w:b/>
                <w:color w:val="000000"/>
                <w:sz w:val="18"/>
              </w:rPr>
              <w:t>завршено</w:t>
            </w:r>
          </w:p>
        </w:tc>
      </w:tr>
      <w:tr w:rsidR="00A52A9A" w14:paraId="691F1B49" w14:textId="77777777" w:rsidTr="00A86A0C">
        <w:tblPrEx>
          <w:tblCellMar>
            <w:left w:w="115" w:type="dxa"/>
            <w:right w:w="115" w:type="dxa"/>
          </w:tblCellMar>
        </w:tblPrEx>
        <w:tc>
          <w:tcPr>
            <w:tcW w:w="4045" w:type="dxa"/>
            <w:gridSpan w:val="2"/>
            <w:vMerge/>
            <w:tcBorders>
              <w:top w:val="single" w:sz="8" w:space="0" w:color="000001"/>
              <w:left w:val="single" w:sz="8" w:space="0" w:color="000001"/>
              <w:right w:val="single" w:sz="8" w:space="0" w:color="000001"/>
            </w:tcBorders>
            <w:shd w:val="clear" w:color="auto" w:fill="FFFFFF"/>
            <w:vAlign w:val="center"/>
          </w:tcPr>
          <w:p w14:paraId="177C0012"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0B1B6066" w14:textId="77777777" w:rsidR="00A52A9A" w:rsidRDefault="00A52A9A" w:rsidP="00A86A0C">
            <w:pPr>
              <w:pStyle w:val="TableContents"/>
              <w:jc w:val="both"/>
            </w:pPr>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344DE2D3" w14:textId="77777777" w:rsidR="00A52A9A" w:rsidRDefault="00A52A9A" w:rsidP="00A86A0C">
            <w:pPr>
              <w:pStyle w:val="TableContents"/>
              <w:jc w:val="both"/>
            </w:pP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B039437" w14:textId="77777777" w:rsidR="00A52A9A" w:rsidRDefault="00A52A9A" w:rsidP="00A86A0C">
            <w:pPr>
              <w:pStyle w:val="TableContents"/>
              <w:jc w:val="both"/>
            </w:pP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359DA79" w14:textId="77777777" w:rsidR="00A52A9A" w:rsidRDefault="00A52A9A" w:rsidP="00A86A0C">
            <w:pPr>
              <w:pStyle w:val="TableContents"/>
              <w:jc w:val="both"/>
            </w:pPr>
          </w:p>
        </w:tc>
      </w:tr>
      <w:tr w:rsidR="00A52A9A" w14:paraId="60131E80"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BDD6EE"/>
          </w:tcPr>
          <w:p w14:paraId="6966BCB9" w14:textId="77777777" w:rsidR="00A52A9A" w:rsidRDefault="00A52A9A" w:rsidP="00A86A0C">
            <w:pPr>
              <w:pStyle w:val="TableContents"/>
              <w:jc w:val="center"/>
            </w:pPr>
            <w:r>
              <w:rPr>
                <w:b/>
                <w:sz w:val="20"/>
              </w:rPr>
              <w:t>Достигнувања</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BDD6EE"/>
          </w:tcPr>
          <w:p w14:paraId="2562F30E"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5F0ADB04"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5885FA1A" w14:textId="77777777" w:rsidR="00A52A9A" w:rsidRDefault="00A52A9A" w:rsidP="00A86A0C">
            <w:pPr>
              <w:pStyle w:val="TableContents"/>
              <w:spacing w:after="0"/>
              <w:jc w:val="both"/>
            </w:pPr>
            <w:r>
              <w:rPr>
                <w:b/>
                <w:sz w:val="20"/>
              </w:rPr>
              <w:t xml:space="preserve">3.3.1 Унапредени капацитети и можности на учениците, наставниците, училиштата и МОН заеднички да градат </w:t>
            </w:r>
            <w:proofErr w:type="spellStart"/>
            <w:r>
              <w:rPr>
                <w:b/>
                <w:sz w:val="20"/>
              </w:rPr>
              <w:t>отчетно</w:t>
            </w:r>
            <w:proofErr w:type="spellEnd"/>
            <w:r>
              <w:rPr>
                <w:b/>
                <w:sz w:val="20"/>
              </w:rPr>
              <w:t>, достапно, ефективно и ефикасно средно образование.</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26D89CFA" w14:textId="77777777" w:rsidR="00A52A9A" w:rsidRDefault="00A52A9A" w:rsidP="00A86A0C">
            <w:pPr>
              <w:pStyle w:val="TableContents"/>
              <w:jc w:val="both"/>
            </w:pPr>
          </w:p>
        </w:tc>
      </w:tr>
      <w:tr w:rsidR="00A52A9A" w14:paraId="14998058"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3E810B22" w14:textId="77777777" w:rsidR="00A52A9A" w:rsidRDefault="00A52A9A" w:rsidP="00A86A0C">
            <w:pPr>
              <w:pStyle w:val="TableContents"/>
              <w:spacing w:after="0"/>
              <w:jc w:val="both"/>
            </w:pPr>
            <w:r>
              <w:rPr>
                <w:b/>
                <w:sz w:val="20"/>
              </w:rPr>
              <w:t>3.3.2 Дефинирани приоритетни области за учениците, родителите и наставниците</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tbl>
            <w:tblPr>
              <w:tblW w:w="0" w:type="auto"/>
              <w:tblLayout w:type="fixed"/>
              <w:tblCellMar>
                <w:top w:w="28" w:type="dxa"/>
                <w:left w:w="28" w:type="dxa"/>
                <w:bottom w:w="28" w:type="dxa"/>
                <w:right w:w="28" w:type="dxa"/>
              </w:tblCellMar>
              <w:tblLook w:val="0000" w:firstRow="0" w:lastRow="0" w:firstColumn="0" w:lastColumn="0" w:noHBand="0" w:noVBand="0"/>
            </w:tblPr>
            <w:tblGrid>
              <w:gridCol w:w="169"/>
            </w:tblGrid>
            <w:tr w:rsidR="00A52A9A" w14:paraId="293A87DC" w14:textId="77777777" w:rsidTr="00A86A0C">
              <w:tc>
                <w:tcPr>
                  <w:tcW w:w="169" w:type="dxa"/>
                  <w:shd w:val="clear" w:color="auto" w:fill="auto"/>
                  <w:vAlign w:val="center"/>
                </w:tcPr>
                <w:p w14:paraId="7794F9A8" w14:textId="77777777" w:rsidR="00A52A9A" w:rsidRDefault="00A52A9A" w:rsidP="00A86A0C">
                  <w:pPr>
                    <w:pStyle w:val="TableContents"/>
                    <w:rPr>
                      <w:sz w:val="4"/>
                      <w:szCs w:val="4"/>
                    </w:rPr>
                  </w:pPr>
                </w:p>
              </w:tc>
            </w:tr>
          </w:tbl>
          <w:p w14:paraId="457AD711" w14:textId="77777777" w:rsidR="00A52A9A" w:rsidRDefault="00A52A9A" w:rsidP="00A86A0C">
            <w:pPr>
              <w:pStyle w:val="TableContents"/>
              <w:jc w:val="both"/>
            </w:pPr>
          </w:p>
        </w:tc>
      </w:tr>
      <w:tr w:rsidR="00A52A9A" w14:paraId="12950EDB"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5FDD694A" w14:textId="77777777" w:rsidR="00A52A9A" w:rsidRDefault="00A52A9A" w:rsidP="00A86A0C">
            <w:pPr>
              <w:pStyle w:val="TableContents"/>
              <w:spacing w:after="0"/>
              <w:jc w:val="both"/>
            </w:pPr>
            <w:r>
              <w:rPr>
                <w:b/>
                <w:sz w:val="20"/>
              </w:rPr>
              <w:t>3.3.3 Воспоставување на алатки за мониторинг</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4C1D1400" w14:textId="77777777" w:rsidR="00A52A9A" w:rsidRDefault="00A52A9A" w:rsidP="00A86A0C">
            <w:pPr>
              <w:pStyle w:val="TableContents"/>
              <w:jc w:val="both"/>
            </w:pPr>
          </w:p>
        </w:tc>
      </w:tr>
      <w:tr w:rsidR="00A52A9A" w14:paraId="4AFD2052"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7B67ACA4" w14:textId="77777777" w:rsidR="00A52A9A" w:rsidRDefault="00A52A9A" w:rsidP="00A86A0C">
            <w:pPr>
              <w:pStyle w:val="TableContents"/>
              <w:spacing w:after="0"/>
              <w:jc w:val="both"/>
            </w:pPr>
            <w:r>
              <w:rPr>
                <w:b/>
                <w:sz w:val="20"/>
              </w:rPr>
              <w:t>3.3.4 Преземени активности за разрешување на идентификуваните проблеми:</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5356FB8D" w14:textId="77777777" w:rsidR="00A52A9A" w:rsidRDefault="00A52A9A" w:rsidP="00A86A0C">
            <w:pPr>
              <w:pStyle w:val="TableContents"/>
              <w:jc w:val="both"/>
            </w:pPr>
          </w:p>
        </w:tc>
      </w:tr>
      <w:tr w:rsidR="00A52A9A" w14:paraId="546AD3A1"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6BCDCA4B" w14:textId="77777777" w:rsidR="00A52A9A" w:rsidRDefault="00A52A9A" w:rsidP="00A86A0C">
            <w:pPr>
              <w:pStyle w:val="TableContents"/>
              <w:spacing w:after="0"/>
              <w:jc w:val="both"/>
            </w:pPr>
            <w:r>
              <w:rPr>
                <w:b/>
                <w:sz w:val="20"/>
              </w:rPr>
              <w:t>3.3.5 Подобрена транспарентност преку објавување на податоци и информации на веб страните на институциите (националните институции, општините и училиштата)</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50D69DA6" w14:textId="77777777" w:rsidR="00A52A9A" w:rsidRDefault="00A52A9A" w:rsidP="00A86A0C">
            <w:pPr>
              <w:pStyle w:val="TableContents"/>
              <w:jc w:val="both"/>
            </w:pPr>
          </w:p>
        </w:tc>
      </w:tr>
      <w:tr w:rsidR="00A52A9A" w14:paraId="4DCBDFEE"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214597AA" w14:textId="77777777" w:rsidR="00A52A9A" w:rsidRDefault="00A52A9A" w:rsidP="00A86A0C">
            <w:pPr>
              <w:pStyle w:val="TableContents"/>
              <w:spacing w:after="0"/>
              <w:jc w:val="both"/>
            </w:pPr>
            <w:r>
              <w:rPr>
                <w:b/>
                <w:sz w:val="20"/>
              </w:rPr>
              <w:t>3.3.6 Воспоставен механизам за законско објавување на квалитетни отворени образовни ресурси на официјалните образовни платформи</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05D815E0" w14:textId="77777777" w:rsidR="00A52A9A" w:rsidRDefault="00A52A9A" w:rsidP="00A86A0C">
            <w:pPr>
              <w:pStyle w:val="TableContents"/>
              <w:jc w:val="both"/>
            </w:pPr>
          </w:p>
        </w:tc>
      </w:tr>
      <w:tr w:rsidR="00A52A9A" w14:paraId="2B8949AD"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215A9816" w14:textId="77777777" w:rsidR="00A52A9A" w:rsidRDefault="00A52A9A" w:rsidP="00A86A0C">
            <w:pPr>
              <w:pStyle w:val="TableContents"/>
              <w:jc w:val="center"/>
            </w:pPr>
            <w:r>
              <w:rPr>
                <w:b/>
                <w:sz w:val="20"/>
              </w:rPr>
              <w:t xml:space="preserve">3.4 Јавни услуги и политики </w:t>
            </w:r>
            <w:proofErr w:type="spellStart"/>
            <w:r>
              <w:rPr>
                <w:b/>
                <w:sz w:val="20"/>
              </w:rPr>
              <w:t>темелени</w:t>
            </w:r>
            <w:proofErr w:type="spellEnd"/>
            <w:r>
              <w:rPr>
                <w:b/>
                <w:sz w:val="20"/>
              </w:rPr>
              <w:t xml:space="preserve"> на граѓанските приоритети од областа на обезбедувањето на локалните јавни услуги</w:t>
            </w:r>
          </w:p>
        </w:tc>
      </w:tr>
      <w:tr w:rsidR="00A52A9A" w14:paraId="39E33586"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4CDC48D7"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01.10.2021-30.09.2023</w:t>
            </w:r>
          </w:p>
        </w:tc>
      </w:tr>
      <w:tr w:rsidR="00A52A9A" w14:paraId="54C1F15D"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FFFFFF"/>
          </w:tcPr>
          <w:p w14:paraId="5C893237"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DEEAF6"/>
          </w:tcPr>
          <w:p w14:paraId="16584E56" w14:textId="77777777" w:rsidR="00A52A9A" w:rsidRPr="00142F34" w:rsidRDefault="00A52A9A" w:rsidP="00A86A0C">
            <w:pPr>
              <w:pStyle w:val="TableContents"/>
              <w:jc w:val="center"/>
              <w:rPr>
                <w:sz w:val="20"/>
                <w:szCs w:val="20"/>
              </w:rPr>
            </w:pPr>
            <w:r w:rsidRPr="00142F34">
              <w:rPr>
                <w:sz w:val="20"/>
                <w:szCs w:val="20"/>
              </w:rPr>
              <w:t>Министерство за локална самоуправа</w:t>
            </w:r>
          </w:p>
        </w:tc>
      </w:tr>
      <w:tr w:rsidR="00A52A9A" w14:paraId="2E49E224" w14:textId="77777777" w:rsidTr="00A86A0C">
        <w:tblPrEx>
          <w:tblCellMar>
            <w:left w:w="115" w:type="dxa"/>
            <w:right w:w="115" w:type="dxa"/>
          </w:tblCellMar>
        </w:tblPrEx>
        <w:tc>
          <w:tcPr>
            <w:tcW w:w="4045" w:type="dxa"/>
            <w:gridSpan w:val="2"/>
            <w:vMerge w:val="restart"/>
            <w:tcBorders>
              <w:top w:val="single" w:sz="8" w:space="0" w:color="000001"/>
              <w:left w:val="single" w:sz="8" w:space="0" w:color="000001"/>
              <w:right w:val="single" w:sz="8" w:space="0" w:color="000001"/>
            </w:tcBorders>
            <w:shd w:val="clear" w:color="auto" w:fill="FFFFFF"/>
            <w:vAlign w:val="center"/>
          </w:tcPr>
          <w:p w14:paraId="2F555880" w14:textId="77777777" w:rsidR="00A52A9A" w:rsidRDefault="00A52A9A" w:rsidP="00A86A0C">
            <w:pPr>
              <w:pStyle w:val="TableContents"/>
              <w:spacing w:after="0"/>
              <w:jc w:val="center"/>
            </w:pPr>
            <w:r>
              <w:rPr>
                <w:b/>
                <w:sz w:val="20"/>
              </w:rPr>
              <w:t>Статус на реализација на заложбата</w:t>
            </w:r>
          </w:p>
          <w:p w14:paraId="7830E690"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70A07C5"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26D8C1F2" w14:textId="77777777" w:rsidR="00A52A9A" w:rsidRDefault="00A52A9A" w:rsidP="00A86A0C">
            <w:pPr>
              <w:pStyle w:val="TableContents"/>
              <w:jc w:val="center"/>
            </w:pPr>
            <w:r>
              <w:rPr>
                <w:b/>
                <w:color w:val="000000"/>
                <w:sz w:val="18"/>
              </w:rPr>
              <w:t>ограничено</w:t>
            </w: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64952F4A" w14:textId="77777777" w:rsidR="00A52A9A" w:rsidRDefault="00A52A9A" w:rsidP="00A86A0C">
            <w:pPr>
              <w:pStyle w:val="TableContents"/>
              <w:jc w:val="center"/>
            </w:pPr>
            <w:r>
              <w:rPr>
                <w:b/>
                <w:color w:val="000000"/>
                <w:sz w:val="18"/>
              </w:rPr>
              <w:t>значително</w:t>
            </w: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A440392" w14:textId="77777777" w:rsidR="00A52A9A" w:rsidRDefault="00A52A9A" w:rsidP="00A86A0C">
            <w:pPr>
              <w:pStyle w:val="TableContents"/>
              <w:jc w:val="center"/>
            </w:pPr>
            <w:r>
              <w:rPr>
                <w:b/>
                <w:color w:val="000000"/>
                <w:sz w:val="18"/>
              </w:rPr>
              <w:t>завршено</w:t>
            </w:r>
          </w:p>
        </w:tc>
      </w:tr>
      <w:tr w:rsidR="00A52A9A" w14:paraId="560B38BC" w14:textId="77777777" w:rsidTr="00A86A0C">
        <w:tblPrEx>
          <w:tblCellMar>
            <w:left w:w="115" w:type="dxa"/>
            <w:right w:w="115" w:type="dxa"/>
          </w:tblCellMar>
        </w:tblPrEx>
        <w:tc>
          <w:tcPr>
            <w:tcW w:w="4045" w:type="dxa"/>
            <w:gridSpan w:val="2"/>
            <w:vMerge/>
            <w:tcBorders>
              <w:top w:val="single" w:sz="8" w:space="0" w:color="000001"/>
              <w:left w:val="single" w:sz="8" w:space="0" w:color="000001"/>
              <w:right w:val="single" w:sz="8" w:space="0" w:color="000001"/>
            </w:tcBorders>
            <w:shd w:val="clear" w:color="auto" w:fill="FFFFFF"/>
            <w:vAlign w:val="center"/>
          </w:tcPr>
          <w:p w14:paraId="63753A58"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234C35CF" w14:textId="77777777" w:rsidR="00A52A9A" w:rsidRDefault="00A52A9A" w:rsidP="00A86A0C">
            <w:pPr>
              <w:pStyle w:val="TableContents"/>
              <w:jc w:val="both"/>
            </w:pPr>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3DB918FF" w14:textId="77777777" w:rsidR="00A52A9A" w:rsidRDefault="00A52A9A" w:rsidP="00A86A0C">
            <w:pPr>
              <w:pStyle w:val="TableContents"/>
              <w:jc w:val="both"/>
            </w:pP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100BD77" w14:textId="77777777" w:rsidR="00A52A9A" w:rsidRDefault="00A52A9A" w:rsidP="00A86A0C">
            <w:pPr>
              <w:pStyle w:val="TableContents"/>
              <w:jc w:val="both"/>
            </w:pP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14713502" w14:textId="77777777" w:rsidR="00A52A9A" w:rsidRDefault="00A52A9A" w:rsidP="00A86A0C">
            <w:pPr>
              <w:pStyle w:val="TableContents"/>
              <w:jc w:val="both"/>
            </w:pPr>
          </w:p>
        </w:tc>
      </w:tr>
      <w:tr w:rsidR="00A52A9A" w14:paraId="27BCA8DB"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BDD6EE"/>
          </w:tcPr>
          <w:p w14:paraId="078C73AE" w14:textId="77777777" w:rsidR="00A52A9A" w:rsidRDefault="00A52A9A" w:rsidP="00A86A0C">
            <w:pPr>
              <w:pStyle w:val="TableContents"/>
              <w:jc w:val="center"/>
            </w:pPr>
            <w:r>
              <w:rPr>
                <w:b/>
                <w:sz w:val="20"/>
              </w:rPr>
              <w:lastRenderedPageBreak/>
              <w:t>Достигнувања</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BDD6EE"/>
          </w:tcPr>
          <w:p w14:paraId="323EA13E"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55C669C6"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0BA6B187" w14:textId="77777777" w:rsidR="00A52A9A" w:rsidRDefault="00A52A9A" w:rsidP="00A86A0C">
            <w:pPr>
              <w:pStyle w:val="TableContents"/>
              <w:spacing w:after="0"/>
              <w:jc w:val="both"/>
            </w:pPr>
            <w:r>
              <w:rPr>
                <w:b/>
                <w:sz w:val="20"/>
              </w:rPr>
              <w:t xml:space="preserve">3.4.1 Воспоставен воедначен механизам применлив за сите општини за консултации и </w:t>
            </w:r>
            <w:proofErr w:type="spellStart"/>
            <w:r>
              <w:rPr>
                <w:b/>
                <w:sz w:val="20"/>
              </w:rPr>
              <w:t>комуникациjа</w:t>
            </w:r>
            <w:proofErr w:type="spellEnd"/>
            <w:r>
              <w:rPr>
                <w:b/>
                <w:sz w:val="20"/>
              </w:rPr>
              <w:t xml:space="preserve"> со граѓаните за давање на </w:t>
            </w:r>
            <w:proofErr w:type="spellStart"/>
            <w:r>
              <w:rPr>
                <w:b/>
                <w:sz w:val="20"/>
              </w:rPr>
              <w:t>инпут</w:t>
            </w:r>
            <w:proofErr w:type="spellEnd"/>
            <w:r>
              <w:rPr>
                <w:b/>
                <w:sz w:val="20"/>
              </w:rPr>
              <w:t xml:space="preserve"> од граѓани при креирање на локалните услуги и </w:t>
            </w:r>
            <w:proofErr w:type="spellStart"/>
            <w:r>
              <w:rPr>
                <w:b/>
                <w:sz w:val="20"/>
              </w:rPr>
              <w:t>алоцирањето</w:t>
            </w:r>
            <w:proofErr w:type="spellEnd"/>
            <w:r>
              <w:rPr>
                <w:b/>
                <w:sz w:val="20"/>
              </w:rPr>
              <w:t xml:space="preserve"> на средствата за нивно спроведување во локалните буџети, со фокус на граѓани од рурални и маргинализирани средини</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14F544F6" w14:textId="77777777" w:rsidR="00A52A9A" w:rsidRPr="009C1913" w:rsidRDefault="00A52A9A" w:rsidP="00A86A0C">
            <w:pPr>
              <w:pStyle w:val="TableContents"/>
              <w:jc w:val="both"/>
              <w:rPr>
                <w:sz w:val="20"/>
                <w:szCs w:val="20"/>
              </w:rPr>
            </w:pPr>
            <w:r w:rsidRPr="009C1913">
              <w:rPr>
                <w:sz w:val="20"/>
                <w:szCs w:val="20"/>
              </w:rPr>
              <w:t>Во фаза на подготовка е Кодекс за транспарентност на локално ниво.  Целта е  општините да обезбедат активна транспарентност преку воедначени стандарди, за да се обезбеди редовно информирање на граѓаните преку ВЕБ страницата на општината за работата на органите на општината, како и за услугите што ги обезбедува за граѓаните.</w:t>
            </w:r>
          </w:p>
          <w:p w14:paraId="20635EB2" w14:textId="77777777" w:rsidR="00A52A9A" w:rsidRPr="009C1913" w:rsidRDefault="00A52A9A" w:rsidP="00A86A0C">
            <w:pPr>
              <w:pStyle w:val="TableContents"/>
              <w:jc w:val="both"/>
              <w:rPr>
                <w:sz w:val="20"/>
                <w:szCs w:val="20"/>
              </w:rPr>
            </w:pPr>
            <w:r w:rsidRPr="009C1913">
              <w:rPr>
                <w:sz w:val="20"/>
                <w:szCs w:val="20"/>
              </w:rPr>
              <w:t>Кодексот ќе содржи листа на информации кои што општината  треба да ги објави, согласно Законот за локалната самоуправа, Законот за слободен пристап до информации од јавен карактер и други секторски Закони.</w:t>
            </w:r>
          </w:p>
          <w:p w14:paraId="1F349787" w14:textId="77777777" w:rsidR="00A52A9A" w:rsidRPr="009C1913" w:rsidRDefault="00A52A9A" w:rsidP="00A86A0C">
            <w:pPr>
              <w:pStyle w:val="TableContents"/>
              <w:jc w:val="both"/>
              <w:rPr>
                <w:sz w:val="20"/>
                <w:szCs w:val="20"/>
              </w:rPr>
            </w:pPr>
            <w:r w:rsidRPr="009C1913">
              <w:rPr>
                <w:sz w:val="20"/>
                <w:szCs w:val="20"/>
              </w:rPr>
              <w:t xml:space="preserve">Се предвидува и он </w:t>
            </w:r>
            <w:proofErr w:type="spellStart"/>
            <w:r w:rsidRPr="009C1913">
              <w:rPr>
                <w:sz w:val="20"/>
                <w:szCs w:val="20"/>
              </w:rPr>
              <w:t>лајн</w:t>
            </w:r>
            <w:proofErr w:type="spellEnd"/>
            <w:r w:rsidRPr="009C1913">
              <w:rPr>
                <w:sz w:val="20"/>
                <w:szCs w:val="20"/>
              </w:rPr>
              <w:t xml:space="preserve"> алатка за комуникација и консултација, како и календар на активности за консултација, со цел да се обезбеди предвидливост на процесот.</w:t>
            </w:r>
          </w:p>
          <w:p w14:paraId="3FA5C6BF" w14:textId="77777777" w:rsidR="00A52A9A" w:rsidRPr="009C1913" w:rsidRDefault="00A52A9A" w:rsidP="00A86A0C">
            <w:pPr>
              <w:pStyle w:val="TableContents"/>
              <w:jc w:val="both"/>
              <w:rPr>
                <w:sz w:val="20"/>
                <w:szCs w:val="20"/>
              </w:rPr>
            </w:pPr>
            <w:r w:rsidRPr="009C1913">
              <w:rPr>
                <w:sz w:val="20"/>
                <w:szCs w:val="20"/>
              </w:rPr>
              <w:t xml:space="preserve">Паралелно, е направена анализа за функционалноста и </w:t>
            </w:r>
            <w:proofErr w:type="spellStart"/>
            <w:r w:rsidRPr="009C1913">
              <w:rPr>
                <w:sz w:val="20"/>
                <w:szCs w:val="20"/>
              </w:rPr>
              <w:t>оддржливоста</w:t>
            </w:r>
            <w:proofErr w:type="spellEnd"/>
            <w:r w:rsidRPr="009C1913">
              <w:rPr>
                <w:sz w:val="20"/>
                <w:szCs w:val="20"/>
              </w:rPr>
              <w:t xml:space="preserve"> на постојните механизми за консултација на локално ниво, која што ќе послужи за изработка на еден </w:t>
            </w:r>
            <w:proofErr w:type="spellStart"/>
            <w:r w:rsidRPr="009C1913">
              <w:rPr>
                <w:sz w:val="20"/>
                <w:szCs w:val="20"/>
              </w:rPr>
              <w:t>оддржлив</w:t>
            </w:r>
            <w:proofErr w:type="spellEnd"/>
            <w:r w:rsidRPr="009C1913">
              <w:rPr>
                <w:sz w:val="20"/>
                <w:szCs w:val="20"/>
              </w:rPr>
              <w:t xml:space="preserve"> механизам аплициран во сите општини кој што ќе обезбедува и он </w:t>
            </w:r>
            <w:proofErr w:type="spellStart"/>
            <w:r w:rsidRPr="009C1913">
              <w:rPr>
                <w:sz w:val="20"/>
                <w:szCs w:val="20"/>
              </w:rPr>
              <w:t>лајн</w:t>
            </w:r>
            <w:proofErr w:type="spellEnd"/>
            <w:r w:rsidRPr="009C1913">
              <w:rPr>
                <w:sz w:val="20"/>
                <w:szCs w:val="20"/>
              </w:rPr>
              <w:t xml:space="preserve"> учество.</w:t>
            </w:r>
          </w:p>
        </w:tc>
      </w:tr>
      <w:tr w:rsidR="00A52A9A" w14:paraId="40A336A1"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37D4A959" w14:textId="77777777" w:rsidR="00A52A9A" w:rsidRDefault="00A52A9A" w:rsidP="00A86A0C">
            <w:pPr>
              <w:pStyle w:val="TableContents"/>
              <w:jc w:val="center"/>
              <w:rPr>
                <w:b/>
                <w:sz w:val="20"/>
              </w:rPr>
            </w:pPr>
          </w:p>
          <w:p w14:paraId="74717BB1" w14:textId="77777777" w:rsidR="00A52A9A" w:rsidRDefault="00A52A9A" w:rsidP="00A86A0C">
            <w:pPr>
              <w:pStyle w:val="TableContents"/>
              <w:jc w:val="center"/>
            </w:pPr>
            <w:r>
              <w:rPr>
                <w:b/>
                <w:sz w:val="20"/>
              </w:rPr>
              <w:t>3.5 Достапни е-услуги во руралните средини</w:t>
            </w:r>
          </w:p>
        </w:tc>
      </w:tr>
      <w:tr w:rsidR="00A52A9A" w14:paraId="7ADEC042"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507385BF"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01.10.2021-30.06.2023</w:t>
            </w:r>
          </w:p>
        </w:tc>
      </w:tr>
      <w:tr w:rsidR="00A52A9A" w14:paraId="79AFB3A2"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FFFFFF"/>
          </w:tcPr>
          <w:p w14:paraId="4E8295F1"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DEEAF6"/>
          </w:tcPr>
          <w:p w14:paraId="02BF2309" w14:textId="77777777" w:rsidR="00A52A9A" w:rsidRPr="00142F34" w:rsidRDefault="00A52A9A" w:rsidP="00A86A0C">
            <w:pPr>
              <w:pStyle w:val="TableContents"/>
              <w:jc w:val="center"/>
              <w:rPr>
                <w:sz w:val="20"/>
                <w:szCs w:val="20"/>
              </w:rPr>
            </w:pPr>
            <w:r w:rsidRPr="00142F34">
              <w:rPr>
                <w:sz w:val="20"/>
                <w:szCs w:val="20"/>
              </w:rPr>
              <w:t>Министерство за информатичко општество и администрација</w:t>
            </w:r>
          </w:p>
        </w:tc>
      </w:tr>
      <w:tr w:rsidR="00A52A9A" w14:paraId="51BB2EE2" w14:textId="77777777" w:rsidTr="00A86A0C">
        <w:tblPrEx>
          <w:tblCellMar>
            <w:left w:w="115" w:type="dxa"/>
            <w:right w:w="115" w:type="dxa"/>
          </w:tblCellMar>
        </w:tblPrEx>
        <w:tc>
          <w:tcPr>
            <w:tcW w:w="4045" w:type="dxa"/>
            <w:gridSpan w:val="2"/>
            <w:vMerge w:val="restart"/>
            <w:tcBorders>
              <w:top w:val="single" w:sz="8" w:space="0" w:color="000001"/>
              <w:left w:val="single" w:sz="8" w:space="0" w:color="000001"/>
              <w:right w:val="single" w:sz="8" w:space="0" w:color="000001"/>
            </w:tcBorders>
            <w:shd w:val="clear" w:color="auto" w:fill="FFFFFF"/>
            <w:vAlign w:val="center"/>
          </w:tcPr>
          <w:p w14:paraId="648B43DD" w14:textId="77777777" w:rsidR="00A52A9A" w:rsidRDefault="00A52A9A" w:rsidP="00A86A0C">
            <w:pPr>
              <w:pStyle w:val="TableContents"/>
              <w:spacing w:after="0"/>
              <w:jc w:val="center"/>
            </w:pPr>
            <w:r>
              <w:rPr>
                <w:b/>
                <w:sz w:val="20"/>
              </w:rPr>
              <w:t>Статус на реализација на заложбата</w:t>
            </w:r>
          </w:p>
          <w:p w14:paraId="4DB76959"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0516309"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D5112BC" w14:textId="77777777" w:rsidR="00A52A9A" w:rsidRDefault="00A52A9A" w:rsidP="00A86A0C">
            <w:pPr>
              <w:pStyle w:val="TableContents"/>
              <w:jc w:val="center"/>
            </w:pPr>
            <w:r>
              <w:rPr>
                <w:b/>
                <w:color w:val="000000"/>
                <w:sz w:val="18"/>
              </w:rPr>
              <w:t>ограничено</w:t>
            </w: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A486E31" w14:textId="77777777" w:rsidR="00A52A9A" w:rsidRDefault="00A52A9A" w:rsidP="00A86A0C">
            <w:pPr>
              <w:pStyle w:val="TableContents"/>
              <w:jc w:val="center"/>
            </w:pPr>
            <w:r>
              <w:rPr>
                <w:b/>
                <w:color w:val="000000"/>
                <w:sz w:val="18"/>
              </w:rPr>
              <w:t>значително</w:t>
            </w: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7B83AF8" w14:textId="77777777" w:rsidR="00A52A9A" w:rsidRDefault="00A52A9A" w:rsidP="00A86A0C">
            <w:pPr>
              <w:pStyle w:val="TableContents"/>
              <w:jc w:val="center"/>
            </w:pPr>
            <w:r>
              <w:rPr>
                <w:b/>
                <w:color w:val="000000"/>
                <w:sz w:val="18"/>
              </w:rPr>
              <w:t>завршено</w:t>
            </w:r>
          </w:p>
        </w:tc>
      </w:tr>
      <w:tr w:rsidR="00A52A9A" w14:paraId="1C135006" w14:textId="77777777" w:rsidTr="00A86A0C">
        <w:tblPrEx>
          <w:tblCellMar>
            <w:left w:w="115" w:type="dxa"/>
            <w:right w:w="115" w:type="dxa"/>
          </w:tblCellMar>
        </w:tblPrEx>
        <w:tc>
          <w:tcPr>
            <w:tcW w:w="4045" w:type="dxa"/>
            <w:gridSpan w:val="2"/>
            <w:vMerge/>
            <w:tcBorders>
              <w:top w:val="single" w:sz="8" w:space="0" w:color="000001"/>
              <w:left w:val="single" w:sz="8" w:space="0" w:color="000001"/>
              <w:right w:val="single" w:sz="8" w:space="0" w:color="000001"/>
            </w:tcBorders>
            <w:shd w:val="clear" w:color="auto" w:fill="FFFFFF"/>
            <w:vAlign w:val="center"/>
          </w:tcPr>
          <w:p w14:paraId="1502786F"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1AD2F61F" w14:textId="77777777" w:rsidR="00A52A9A" w:rsidRDefault="00A52A9A" w:rsidP="00A86A0C">
            <w:pPr>
              <w:pStyle w:val="TableContents"/>
              <w:jc w:val="both"/>
            </w:pPr>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2A38B4CA" w14:textId="77777777" w:rsidR="00A52A9A" w:rsidRDefault="00A52A9A" w:rsidP="00A86A0C">
            <w:pPr>
              <w:pStyle w:val="TableContents"/>
              <w:jc w:val="both"/>
            </w:pP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C7C85B1" w14:textId="77777777" w:rsidR="00A52A9A" w:rsidRDefault="00A52A9A" w:rsidP="00A86A0C">
            <w:pPr>
              <w:pStyle w:val="TableContents"/>
              <w:jc w:val="both"/>
            </w:pP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3021CF1D" w14:textId="77777777" w:rsidR="00A52A9A" w:rsidRDefault="00A52A9A" w:rsidP="00A86A0C">
            <w:pPr>
              <w:pStyle w:val="TableContents"/>
              <w:jc w:val="both"/>
            </w:pPr>
          </w:p>
        </w:tc>
      </w:tr>
      <w:tr w:rsidR="00A52A9A" w14:paraId="6BEBECAF"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BDD6EE"/>
          </w:tcPr>
          <w:p w14:paraId="2BF1AA68" w14:textId="77777777" w:rsidR="00A52A9A" w:rsidRDefault="00A52A9A" w:rsidP="00A86A0C">
            <w:pPr>
              <w:pStyle w:val="TableContents"/>
              <w:jc w:val="center"/>
            </w:pPr>
            <w:r>
              <w:rPr>
                <w:b/>
                <w:sz w:val="20"/>
              </w:rPr>
              <w:t>Достигнувања</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BDD6EE"/>
          </w:tcPr>
          <w:p w14:paraId="71232268"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3F254C5D"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54E3EDFC" w14:textId="77777777" w:rsidR="00A52A9A" w:rsidRDefault="00A52A9A" w:rsidP="00A86A0C">
            <w:pPr>
              <w:pStyle w:val="TableContents"/>
              <w:spacing w:after="0"/>
              <w:jc w:val="both"/>
            </w:pPr>
            <w:r>
              <w:rPr>
                <w:b/>
                <w:sz w:val="20"/>
              </w:rPr>
              <w:t xml:space="preserve">3.5.1 Спроведена кампања за промовирање на услугите кои </w:t>
            </w:r>
            <w:r>
              <w:rPr>
                <w:b/>
                <w:sz w:val="20"/>
              </w:rPr>
              <w:lastRenderedPageBreak/>
              <w:t>граѓаните можат да ги добијат по електронски пат, наместо на шалтер. (Активноста ќе биде вклучена во редовните советодавни активности на АПРЗ, а информациите дистрибуирани до земјоделците и преку подрачните единици на МЗШВ и преку АФПЗРР)</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472DB27D" w14:textId="77777777" w:rsidR="00A52A9A" w:rsidRDefault="00A52A9A" w:rsidP="00A86A0C">
            <w:pPr>
              <w:pStyle w:val="TableContents"/>
              <w:jc w:val="both"/>
            </w:pPr>
          </w:p>
        </w:tc>
      </w:tr>
      <w:tr w:rsidR="00A52A9A" w14:paraId="0E3C4B56"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14EF554B" w14:textId="77777777" w:rsidR="00A52A9A" w:rsidRDefault="00A52A9A" w:rsidP="00A86A0C">
            <w:pPr>
              <w:pStyle w:val="TableContents"/>
              <w:spacing w:after="0"/>
              <w:jc w:val="both"/>
            </w:pPr>
            <w:r>
              <w:rPr>
                <w:b/>
                <w:sz w:val="20"/>
              </w:rPr>
              <w:t>3.5.2 Воспоставена локална мрежа на мобилни посредници за промовирање и посредување во пристап до Порталот uslugi.gov.mk</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3CA7D8FE" w14:textId="77777777" w:rsidR="00A52A9A" w:rsidRDefault="00A52A9A" w:rsidP="00A86A0C">
            <w:pPr>
              <w:pStyle w:val="TableContents"/>
              <w:jc w:val="both"/>
            </w:pPr>
          </w:p>
        </w:tc>
      </w:tr>
      <w:tr w:rsidR="00A52A9A" w14:paraId="19499087"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3A22EB86" w14:textId="77777777" w:rsidR="00A52A9A" w:rsidRDefault="00A52A9A" w:rsidP="00A86A0C">
            <w:pPr>
              <w:pStyle w:val="TableContents"/>
              <w:spacing w:after="0"/>
              <w:jc w:val="both"/>
            </w:pPr>
            <w:r>
              <w:rPr>
                <w:b/>
                <w:sz w:val="20"/>
              </w:rPr>
              <w:t xml:space="preserve">3.5.3 Изработена „Анализа и попис на услуги во сектор земјоделство, шумарство и водостопанство со </w:t>
            </w:r>
            <w:proofErr w:type="spellStart"/>
            <w:r>
              <w:rPr>
                <w:b/>
                <w:sz w:val="20"/>
              </w:rPr>
              <w:t>приоретизација</w:t>
            </w:r>
            <w:proofErr w:type="spellEnd"/>
            <w:r>
              <w:rPr>
                <w:b/>
                <w:sz w:val="20"/>
              </w:rPr>
              <w:t xml:space="preserve"> на услуги, како и внесување на податоци“ и внесување и верификација на идентификуваните услуги во Каталог на услуги (согласно Законот за електронско управување и електронски услуги)</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68B23FE1" w14:textId="77777777" w:rsidR="00A52A9A" w:rsidRDefault="00A52A9A" w:rsidP="00A86A0C">
            <w:pPr>
              <w:pStyle w:val="TableContents"/>
              <w:jc w:val="both"/>
            </w:pPr>
          </w:p>
        </w:tc>
      </w:tr>
      <w:tr w:rsidR="00A52A9A" w14:paraId="0BDCFE20"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363A5333" w14:textId="77777777" w:rsidR="00A52A9A" w:rsidRDefault="00A52A9A" w:rsidP="00A86A0C">
            <w:pPr>
              <w:pStyle w:val="TableContents"/>
              <w:spacing w:after="0"/>
              <w:jc w:val="both"/>
            </w:pPr>
            <w:r>
              <w:rPr>
                <w:b/>
                <w:sz w:val="20"/>
              </w:rPr>
              <w:t xml:space="preserve">3.5.4 Развиен </w:t>
            </w:r>
            <w:proofErr w:type="spellStart"/>
            <w:r>
              <w:rPr>
                <w:b/>
                <w:sz w:val="20"/>
              </w:rPr>
              <w:t>курикулум</w:t>
            </w:r>
            <w:proofErr w:type="spellEnd"/>
            <w:r>
              <w:rPr>
                <w:b/>
                <w:sz w:val="20"/>
              </w:rPr>
              <w:t xml:space="preserve"> за едукација на граѓани за основни дигитални вештини наменет за рурални и маргинализирани средини (основна компјутерска писменост- </w:t>
            </w:r>
            <w:proofErr w:type="spellStart"/>
            <w:r>
              <w:rPr>
                <w:b/>
                <w:sz w:val="20"/>
              </w:rPr>
              <w:t>зоом</w:t>
            </w:r>
            <w:proofErr w:type="spellEnd"/>
            <w:r>
              <w:rPr>
                <w:b/>
                <w:sz w:val="20"/>
              </w:rPr>
              <w:t>, интернет итн.) и спроведување на обуките</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7696A24B" w14:textId="77777777" w:rsidR="00A52A9A" w:rsidRDefault="00A52A9A" w:rsidP="00A86A0C">
            <w:pPr>
              <w:pStyle w:val="TableContents"/>
              <w:jc w:val="both"/>
            </w:pPr>
          </w:p>
        </w:tc>
      </w:tr>
      <w:tr w:rsidR="00A52A9A" w14:paraId="0593EDFF"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380DD43D" w14:textId="77777777" w:rsidR="00A52A9A" w:rsidRDefault="00A52A9A" w:rsidP="00A86A0C">
            <w:pPr>
              <w:pStyle w:val="TableContents"/>
              <w:jc w:val="center"/>
            </w:pPr>
            <w:r>
              <w:rPr>
                <w:b/>
                <w:sz w:val="20"/>
              </w:rPr>
              <w:t>3.6 Зголемување на пристапот до загарантираните облици на заштита на жртвите на трговија со луѓе</w:t>
            </w:r>
          </w:p>
        </w:tc>
      </w:tr>
      <w:tr w:rsidR="00A52A9A" w14:paraId="7713AE10"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171E0E34"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01.10.2021-30.06.2023</w:t>
            </w:r>
          </w:p>
        </w:tc>
      </w:tr>
      <w:tr w:rsidR="00A52A9A" w14:paraId="1234E6DC"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FFFFFF"/>
          </w:tcPr>
          <w:p w14:paraId="49099F76"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DEEAF6"/>
          </w:tcPr>
          <w:p w14:paraId="11375141" w14:textId="77777777" w:rsidR="00A52A9A" w:rsidRPr="00142F34" w:rsidRDefault="00A52A9A" w:rsidP="00A86A0C">
            <w:pPr>
              <w:pStyle w:val="TableContents"/>
              <w:jc w:val="center"/>
              <w:rPr>
                <w:sz w:val="20"/>
                <w:szCs w:val="20"/>
              </w:rPr>
            </w:pPr>
            <w:r w:rsidRPr="00142F34">
              <w:rPr>
                <w:sz w:val="20"/>
                <w:szCs w:val="20"/>
              </w:rPr>
              <w:t>Министерство за внатрешни работи</w:t>
            </w:r>
          </w:p>
        </w:tc>
      </w:tr>
      <w:tr w:rsidR="00A52A9A" w14:paraId="31798672" w14:textId="77777777" w:rsidTr="00A86A0C">
        <w:tblPrEx>
          <w:tblCellMar>
            <w:left w:w="115" w:type="dxa"/>
            <w:right w:w="115" w:type="dxa"/>
          </w:tblCellMar>
        </w:tblPrEx>
        <w:tc>
          <w:tcPr>
            <w:tcW w:w="4045" w:type="dxa"/>
            <w:gridSpan w:val="2"/>
            <w:vMerge w:val="restart"/>
            <w:tcBorders>
              <w:top w:val="single" w:sz="8" w:space="0" w:color="000001"/>
              <w:left w:val="single" w:sz="8" w:space="0" w:color="000001"/>
              <w:right w:val="single" w:sz="8" w:space="0" w:color="000001"/>
            </w:tcBorders>
            <w:shd w:val="clear" w:color="auto" w:fill="FFFFFF"/>
            <w:vAlign w:val="center"/>
          </w:tcPr>
          <w:p w14:paraId="12893AE6" w14:textId="77777777" w:rsidR="00A52A9A" w:rsidRDefault="00A52A9A" w:rsidP="00A86A0C">
            <w:pPr>
              <w:pStyle w:val="TableContents"/>
              <w:spacing w:after="0"/>
              <w:jc w:val="center"/>
            </w:pPr>
            <w:r>
              <w:rPr>
                <w:b/>
                <w:sz w:val="20"/>
              </w:rPr>
              <w:t>Статус на реализација на заложбата</w:t>
            </w:r>
          </w:p>
          <w:p w14:paraId="35A54D24"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218D31C6" w14:textId="77777777" w:rsidR="00A52A9A" w:rsidRPr="00E8642D" w:rsidRDefault="00A52A9A" w:rsidP="00A86A0C">
            <w:pPr>
              <w:pStyle w:val="TableContents"/>
              <w:jc w:val="center"/>
              <w:rPr>
                <w:sz w:val="17"/>
                <w:szCs w:val="17"/>
              </w:rPr>
            </w:pPr>
            <w:proofErr w:type="spellStart"/>
            <w:r w:rsidRPr="00E8642D">
              <w:rPr>
                <w:b/>
                <w:color w:val="000000"/>
                <w:sz w:val="17"/>
                <w:szCs w:val="17"/>
              </w:rPr>
              <w:t>незапочнато</w:t>
            </w:r>
            <w:proofErr w:type="spellEnd"/>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40BB4EA6" w14:textId="77777777" w:rsidR="00A52A9A" w:rsidRDefault="00A52A9A" w:rsidP="00A86A0C">
            <w:pPr>
              <w:pStyle w:val="TableContents"/>
              <w:jc w:val="center"/>
            </w:pPr>
            <w:r>
              <w:rPr>
                <w:b/>
                <w:color w:val="000000"/>
                <w:sz w:val="18"/>
              </w:rPr>
              <w:t>ограничено</w:t>
            </w: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6CC50859" w14:textId="77777777" w:rsidR="00A52A9A" w:rsidRDefault="00A52A9A" w:rsidP="00A86A0C">
            <w:pPr>
              <w:pStyle w:val="TableContents"/>
              <w:jc w:val="center"/>
            </w:pPr>
            <w:r>
              <w:rPr>
                <w:b/>
                <w:color w:val="000000"/>
                <w:sz w:val="18"/>
              </w:rPr>
              <w:t>значително</w:t>
            </w: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DDE3A90" w14:textId="77777777" w:rsidR="00A52A9A" w:rsidRDefault="00A52A9A" w:rsidP="00A86A0C">
            <w:pPr>
              <w:pStyle w:val="TableContents"/>
              <w:jc w:val="center"/>
            </w:pPr>
            <w:r>
              <w:rPr>
                <w:b/>
                <w:color w:val="000000"/>
                <w:sz w:val="18"/>
              </w:rPr>
              <w:t>завршено</w:t>
            </w:r>
          </w:p>
        </w:tc>
      </w:tr>
      <w:tr w:rsidR="00A52A9A" w14:paraId="43E24907" w14:textId="77777777" w:rsidTr="00A86A0C">
        <w:tblPrEx>
          <w:tblCellMar>
            <w:left w:w="115" w:type="dxa"/>
            <w:right w:w="115" w:type="dxa"/>
          </w:tblCellMar>
        </w:tblPrEx>
        <w:tc>
          <w:tcPr>
            <w:tcW w:w="4045" w:type="dxa"/>
            <w:gridSpan w:val="2"/>
            <w:vMerge/>
            <w:tcBorders>
              <w:top w:val="single" w:sz="8" w:space="0" w:color="000001"/>
              <w:left w:val="single" w:sz="8" w:space="0" w:color="000001"/>
              <w:right w:val="single" w:sz="8" w:space="0" w:color="000001"/>
            </w:tcBorders>
            <w:shd w:val="clear" w:color="auto" w:fill="FFFFFF"/>
            <w:vAlign w:val="center"/>
          </w:tcPr>
          <w:p w14:paraId="1E279EFB"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710AB54F" w14:textId="77777777" w:rsidR="00A52A9A" w:rsidRDefault="00A52A9A" w:rsidP="00A86A0C">
            <w:pPr>
              <w:pStyle w:val="TableContents"/>
              <w:jc w:val="both"/>
            </w:pPr>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42DA8565" w14:textId="77777777" w:rsidR="00A52A9A" w:rsidRDefault="00A52A9A" w:rsidP="00A86A0C">
            <w:pPr>
              <w:pStyle w:val="TableContents"/>
              <w:jc w:val="both"/>
            </w:pP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43C4A88" w14:textId="77777777" w:rsidR="00A52A9A" w:rsidRDefault="00A52A9A" w:rsidP="00A86A0C">
            <w:pPr>
              <w:pStyle w:val="TableContents"/>
              <w:jc w:val="both"/>
            </w:pP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8043141" w14:textId="77777777" w:rsidR="00A52A9A" w:rsidRDefault="00A52A9A" w:rsidP="00A86A0C">
            <w:pPr>
              <w:pStyle w:val="TableContents"/>
              <w:jc w:val="both"/>
            </w:pPr>
          </w:p>
        </w:tc>
      </w:tr>
      <w:tr w:rsidR="00A52A9A" w14:paraId="0C9527A8"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BDD6EE"/>
          </w:tcPr>
          <w:p w14:paraId="5B187725" w14:textId="77777777" w:rsidR="00A52A9A" w:rsidRDefault="00A52A9A" w:rsidP="00A86A0C">
            <w:pPr>
              <w:pStyle w:val="TableContents"/>
              <w:jc w:val="center"/>
            </w:pPr>
            <w:r>
              <w:rPr>
                <w:b/>
                <w:sz w:val="20"/>
              </w:rPr>
              <w:t>Достигнувања</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BDD6EE"/>
          </w:tcPr>
          <w:p w14:paraId="549FABF8"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4618FD11"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511F1459" w14:textId="77777777" w:rsidR="00A52A9A" w:rsidRDefault="00A52A9A" w:rsidP="00A86A0C">
            <w:pPr>
              <w:pStyle w:val="TableContents"/>
              <w:spacing w:after="0"/>
              <w:jc w:val="both"/>
            </w:pPr>
            <w:r>
              <w:rPr>
                <w:b/>
                <w:sz w:val="20"/>
              </w:rPr>
              <w:lastRenderedPageBreak/>
              <w:t>3.6.1 Воспоставени мобилни тимови за теренска работа на подрачјето на Охрид и Струга, и на подрачјето Штип и околните градови</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305C7CA4" w14:textId="77777777" w:rsidR="00A52A9A" w:rsidRPr="009C1913" w:rsidRDefault="00A52A9A" w:rsidP="00A86A0C">
            <w:pPr>
              <w:pStyle w:val="TableContents"/>
              <w:jc w:val="both"/>
              <w:rPr>
                <w:sz w:val="20"/>
                <w:szCs w:val="20"/>
              </w:rPr>
            </w:pPr>
            <w:r w:rsidRPr="009C1913">
              <w:rPr>
                <w:sz w:val="20"/>
                <w:szCs w:val="20"/>
              </w:rPr>
              <w:t xml:space="preserve">Мобилните тимови </w:t>
            </w:r>
            <w:proofErr w:type="spellStart"/>
            <w:r w:rsidRPr="009C1913">
              <w:rPr>
                <w:sz w:val="20"/>
                <w:szCs w:val="20"/>
              </w:rPr>
              <w:t>спроведуваaт</w:t>
            </w:r>
            <w:proofErr w:type="spellEnd"/>
            <w:r w:rsidRPr="009C1913">
              <w:rPr>
                <w:sz w:val="20"/>
                <w:szCs w:val="20"/>
              </w:rPr>
              <w:t xml:space="preserve"> програмски активности </w:t>
            </w:r>
            <w:proofErr w:type="spellStart"/>
            <w:r w:rsidRPr="009C1913">
              <w:rPr>
                <w:sz w:val="20"/>
                <w:szCs w:val="20"/>
              </w:rPr>
              <w:t>т.е</w:t>
            </w:r>
            <w:proofErr w:type="spellEnd"/>
            <w:r w:rsidRPr="009C1913">
              <w:rPr>
                <w:sz w:val="20"/>
                <w:szCs w:val="20"/>
              </w:rPr>
              <w:t xml:space="preserve"> одржуваат редовни состаноци,</w:t>
            </w:r>
            <w:r>
              <w:rPr>
                <w:sz w:val="20"/>
                <w:szCs w:val="20"/>
              </w:rPr>
              <w:t xml:space="preserve"> </w:t>
            </w:r>
            <w:r w:rsidRPr="009C1913">
              <w:rPr>
                <w:sz w:val="20"/>
                <w:szCs w:val="20"/>
              </w:rPr>
              <w:t>теренски посети, контакти, упатувања и помош на ранливи категори</w:t>
            </w:r>
            <w:r>
              <w:rPr>
                <w:sz w:val="20"/>
                <w:szCs w:val="20"/>
              </w:rPr>
              <w:t>и</w:t>
            </w:r>
            <w:r w:rsidRPr="009C1913">
              <w:rPr>
                <w:sz w:val="20"/>
                <w:szCs w:val="20"/>
              </w:rPr>
              <w:t>, заради поефикасна навремена идентификација на жртви /и потенцијални жртви на ТЛ. На територијата на РС Македонија формирани се пет мобилни тимови : Тетово, Скопје, Куманово, Битола и Гевгелија.</w:t>
            </w:r>
          </w:p>
          <w:p w14:paraId="67265F0A" w14:textId="77777777" w:rsidR="00A52A9A" w:rsidRPr="00142F34" w:rsidRDefault="00A52A9A" w:rsidP="00A86A0C">
            <w:pPr>
              <w:pStyle w:val="TableContents"/>
              <w:jc w:val="both"/>
              <w:rPr>
                <w:sz w:val="20"/>
                <w:szCs w:val="20"/>
              </w:rPr>
            </w:pPr>
            <w:r w:rsidRPr="009C1913">
              <w:rPr>
                <w:sz w:val="20"/>
                <w:szCs w:val="20"/>
              </w:rPr>
              <w:t>Во насока на воспоставување на мобилни тимови во други општини,  Националната комисија за борба против трговија со луѓе и илегална миграција донесе одлука за воспоставување  на три  мобилни тимови за идентификација на ранливи категории, вклучувајќи ги и жртвите на трговија со луѓе на подрачје на Охрид, Струга и Штип,  кои  сеуште се во процедура на назначување на нивни членови.</w:t>
            </w:r>
          </w:p>
        </w:tc>
      </w:tr>
      <w:tr w:rsidR="00A52A9A" w14:paraId="344C712A"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47B1475F" w14:textId="77777777" w:rsidR="00A52A9A" w:rsidRDefault="00A52A9A" w:rsidP="00A86A0C">
            <w:pPr>
              <w:pStyle w:val="TableContents"/>
              <w:spacing w:after="0"/>
              <w:jc w:val="both"/>
            </w:pPr>
            <w:r>
              <w:rPr>
                <w:b/>
                <w:sz w:val="20"/>
              </w:rPr>
              <w:t>3.6.2 Систематско собирање на податоци за трговија со луѓе преку користење на расположливата алатка за мониторинг и евалуација на состојбите на трговија со луѓе во РСМ и нивно редовно објавување.</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770BEB50" w14:textId="77777777" w:rsidR="00A52A9A" w:rsidRPr="009C1913" w:rsidRDefault="00A52A9A" w:rsidP="00A86A0C">
            <w:pPr>
              <w:pStyle w:val="TableContents"/>
              <w:jc w:val="both"/>
              <w:rPr>
                <w:sz w:val="20"/>
                <w:szCs w:val="20"/>
              </w:rPr>
            </w:pPr>
            <w:r w:rsidRPr="009C1913">
              <w:rPr>
                <w:sz w:val="20"/>
                <w:szCs w:val="20"/>
              </w:rPr>
              <w:t>Националната комисија за борба против трговија со луѓе во континуитет презема активности за подобрување на идентификацијата на жртвите од ТЛ, како и обезбедување нивна помош и заштита. Комисијата, индикаторите  за собирање и следење на податоци ги селектира преку Образецот за следење на случај на жртви за трговија со луѓе, изработен согласно СОП за постапување со жртви. Во однос на воспоставување прецизни индикатори, а согласно имплементацијата на Стратегијата за трговија со луѓе, Комисијата донесе Решение за формирање на Оперативен тим (МВР,ОЈО,МТСП и Здружение на граѓани) за координација, следење и управување со случаи на трговија со луѓе, кој веќе е во функција.</w:t>
            </w:r>
          </w:p>
          <w:p w14:paraId="1F4F5A2B" w14:textId="77777777" w:rsidR="00A52A9A" w:rsidRPr="009C1913" w:rsidRDefault="00A52A9A" w:rsidP="00A86A0C">
            <w:pPr>
              <w:pStyle w:val="TableContents"/>
              <w:jc w:val="both"/>
              <w:rPr>
                <w:sz w:val="20"/>
                <w:szCs w:val="20"/>
              </w:rPr>
            </w:pPr>
            <w:r w:rsidRPr="009C1913">
              <w:rPr>
                <w:sz w:val="20"/>
                <w:szCs w:val="20"/>
              </w:rPr>
              <w:t xml:space="preserve">Воедно, Комисијата има воспоставено електронска база на податоци за идентификација на жртва која се води преку Образецот за следење на случај на жртви за ТЛ, означен со индивидуална кодна шифра. Притоа,  во тек е креирање на проектот HUMANE поддржан од  Министерство за наука на Германија, преку кој ќе се развие меѓународна платформа за обработка на податоци за трговијата со луѓе. Во проектот од РСМ ќе учествуваат претставници од Отворена  Порта Ла страда, Европски универзитет </w:t>
            </w:r>
            <w:r w:rsidRPr="009C1913">
              <w:rPr>
                <w:sz w:val="20"/>
                <w:szCs w:val="20"/>
              </w:rPr>
              <w:lastRenderedPageBreak/>
              <w:t>и  Националната единица за борба против криумчарење на мигранти и трговија со луѓе и од Одделот за гранични работи  при МВР.</w:t>
            </w:r>
          </w:p>
          <w:p w14:paraId="4242F212" w14:textId="77777777" w:rsidR="00A52A9A" w:rsidRPr="009C1913" w:rsidRDefault="00A52A9A" w:rsidP="00A86A0C">
            <w:pPr>
              <w:pStyle w:val="TableContents"/>
              <w:jc w:val="both"/>
              <w:rPr>
                <w:sz w:val="20"/>
                <w:szCs w:val="20"/>
              </w:rPr>
            </w:pPr>
            <w:r w:rsidRPr="009C1913">
              <w:rPr>
                <w:sz w:val="20"/>
                <w:szCs w:val="20"/>
              </w:rPr>
              <w:t>Објавени се четири анализи и еден документ за јавни политики:</w:t>
            </w:r>
          </w:p>
          <w:p w14:paraId="1D4D7D33" w14:textId="77777777" w:rsidR="00A52A9A" w:rsidRPr="009C1913" w:rsidRDefault="00A52A9A" w:rsidP="00A52A9A">
            <w:pPr>
              <w:pStyle w:val="TableContents"/>
              <w:numPr>
                <w:ilvl w:val="0"/>
                <w:numId w:val="3"/>
              </w:numPr>
              <w:tabs>
                <w:tab w:val="clear" w:pos="707"/>
                <w:tab w:val="left" w:pos="457"/>
              </w:tabs>
              <w:spacing w:after="0"/>
              <w:ind w:left="457"/>
              <w:jc w:val="both"/>
              <w:rPr>
                <w:sz w:val="20"/>
                <w:szCs w:val="20"/>
              </w:rPr>
            </w:pPr>
            <w:r w:rsidRPr="009C1913">
              <w:rPr>
                <w:sz w:val="20"/>
                <w:szCs w:val="20"/>
              </w:rPr>
              <w:t xml:space="preserve">Анализа на случаи на трговија со луѓе и деца: Предизвици за ефективно гонење и санкционирање на сторителите; </w:t>
            </w:r>
          </w:p>
          <w:p w14:paraId="40C8CD24" w14:textId="77777777" w:rsidR="00A52A9A" w:rsidRPr="009C1913" w:rsidRDefault="00A52A9A" w:rsidP="00A52A9A">
            <w:pPr>
              <w:pStyle w:val="TableContents"/>
              <w:numPr>
                <w:ilvl w:val="0"/>
                <w:numId w:val="3"/>
              </w:numPr>
              <w:tabs>
                <w:tab w:val="clear" w:pos="707"/>
                <w:tab w:val="left" w:pos="457"/>
              </w:tabs>
              <w:spacing w:after="0"/>
              <w:ind w:left="457"/>
              <w:jc w:val="both"/>
              <w:rPr>
                <w:sz w:val="20"/>
                <w:szCs w:val="20"/>
              </w:rPr>
            </w:pPr>
            <w:r w:rsidRPr="009C1913">
              <w:rPr>
                <w:sz w:val="20"/>
                <w:szCs w:val="20"/>
              </w:rPr>
              <w:t xml:space="preserve">Анализа на трендовите на трговија со луѓе во земјите членки на Регионалната иницијатива за миграции, азил и бегалци (MARRI); </w:t>
            </w:r>
          </w:p>
          <w:p w14:paraId="7272C015" w14:textId="77777777" w:rsidR="00A52A9A" w:rsidRPr="009C1913" w:rsidRDefault="00A52A9A" w:rsidP="00A52A9A">
            <w:pPr>
              <w:pStyle w:val="TableContents"/>
              <w:numPr>
                <w:ilvl w:val="0"/>
                <w:numId w:val="3"/>
              </w:numPr>
              <w:tabs>
                <w:tab w:val="clear" w:pos="707"/>
                <w:tab w:val="left" w:pos="457"/>
              </w:tabs>
              <w:spacing w:after="0"/>
              <w:ind w:left="457"/>
              <w:jc w:val="both"/>
              <w:rPr>
                <w:sz w:val="20"/>
                <w:szCs w:val="20"/>
              </w:rPr>
            </w:pPr>
            <w:r w:rsidRPr="009C1913">
              <w:rPr>
                <w:sz w:val="20"/>
                <w:szCs w:val="20"/>
              </w:rPr>
              <w:t xml:space="preserve">Панел дискусија и презентација на првични согледувања од истражувањето –„Онлајн експлоатација и трговија со деца“ ( следи финализирање на истражувањето земајќи ги во предвид коментарите/ препораките кои се произлезени од презентацијата); </w:t>
            </w:r>
          </w:p>
          <w:p w14:paraId="373FD5F3" w14:textId="77777777" w:rsidR="00A52A9A" w:rsidRPr="009C1913" w:rsidRDefault="00A52A9A" w:rsidP="00A52A9A">
            <w:pPr>
              <w:pStyle w:val="TableContents"/>
              <w:numPr>
                <w:ilvl w:val="0"/>
                <w:numId w:val="3"/>
              </w:numPr>
              <w:tabs>
                <w:tab w:val="clear" w:pos="707"/>
                <w:tab w:val="left" w:pos="457"/>
              </w:tabs>
              <w:spacing w:after="0"/>
              <w:ind w:left="457"/>
              <w:jc w:val="both"/>
              <w:rPr>
                <w:sz w:val="20"/>
                <w:szCs w:val="20"/>
              </w:rPr>
            </w:pPr>
            <w:r w:rsidRPr="009C1913">
              <w:rPr>
                <w:sz w:val="20"/>
                <w:szCs w:val="20"/>
              </w:rPr>
              <w:t>Анализа од областа за криумчарење на мигранти во РС</w:t>
            </w:r>
            <w:r>
              <w:rPr>
                <w:sz w:val="20"/>
                <w:szCs w:val="20"/>
              </w:rPr>
              <w:t xml:space="preserve"> </w:t>
            </w:r>
            <w:r w:rsidRPr="009C1913">
              <w:rPr>
                <w:sz w:val="20"/>
                <w:szCs w:val="20"/>
              </w:rPr>
              <w:t xml:space="preserve">Македонија„ (Македонско здружение на млади правници согласно проект на ЕУ „Безбедност на човекот и границите – Борба против криумчарење на мигранти во Западен Балкан „ https://myla.org.mk); </w:t>
            </w:r>
          </w:p>
          <w:p w14:paraId="26FF898B" w14:textId="77777777" w:rsidR="00A52A9A" w:rsidRPr="00142F34" w:rsidRDefault="00A52A9A" w:rsidP="00A52A9A">
            <w:pPr>
              <w:pStyle w:val="TableContents"/>
              <w:numPr>
                <w:ilvl w:val="0"/>
                <w:numId w:val="3"/>
              </w:numPr>
              <w:tabs>
                <w:tab w:val="clear" w:pos="707"/>
                <w:tab w:val="left" w:pos="457"/>
              </w:tabs>
              <w:ind w:left="457"/>
              <w:jc w:val="both"/>
              <w:rPr>
                <w:sz w:val="20"/>
                <w:szCs w:val="20"/>
              </w:rPr>
            </w:pPr>
            <w:r w:rsidRPr="009C1913">
              <w:rPr>
                <w:sz w:val="20"/>
                <w:szCs w:val="20"/>
              </w:rPr>
              <w:t xml:space="preserve">Документ за јавни политики ,,Сезонската работа- плодна почва за трудова експлоатација’’( https://myla.org.mk) </w:t>
            </w:r>
          </w:p>
        </w:tc>
      </w:tr>
      <w:tr w:rsidR="00A52A9A" w14:paraId="4E039666"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739E1FA9" w14:textId="77777777" w:rsidR="00A52A9A" w:rsidRDefault="00A52A9A" w:rsidP="00A86A0C">
            <w:pPr>
              <w:pStyle w:val="TableContents"/>
              <w:spacing w:after="0"/>
              <w:jc w:val="both"/>
            </w:pPr>
            <w:r>
              <w:rPr>
                <w:b/>
                <w:sz w:val="20"/>
              </w:rPr>
              <w:lastRenderedPageBreak/>
              <w:t>3.6.3 Воспоставување на база на податоци за поведени постапки и идентификувани случаи на он-</w:t>
            </w:r>
            <w:proofErr w:type="spellStart"/>
            <w:r>
              <w:rPr>
                <w:b/>
                <w:sz w:val="20"/>
              </w:rPr>
              <w:t>лајн</w:t>
            </w:r>
            <w:proofErr w:type="spellEnd"/>
            <w:r>
              <w:rPr>
                <w:b/>
                <w:sz w:val="20"/>
              </w:rPr>
              <w:t xml:space="preserve"> експлоатација на деца и нивно редовно објавување. Извештаите со </w:t>
            </w:r>
            <w:proofErr w:type="spellStart"/>
            <w:r>
              <w:rPr>
                <w:b/>
                <w:sz w:val="20"/>
              </w:rPr>
              <w:t>сензитивните</w:t>
            </w:r>
            <w:proofErr w:type="spellEnd"/>
            <w:r>
              <w:rPr>
                <w:b/>
                <w:sz w:val="20"/>
              </w:rPr>
              <w:t xml:space="preserve"> податоци (интерни извештаи) ќе се користат за раководење на случаевите. Податоците ќе се објавуваат и во извештаи од јавен карактер кои ќе бидат во генерална форма во согласност со законот за заштита на лични податоци, заштита на идентитетот и приватноста согласно Конвенцијата на Советот на </w:t>
            </w:r>
            <w:r>
              <w:rPr>
                <w:b/>
                <w:sz w:val="20"/>
              </w:rPr>
              <w:lastRenderedPageBreak/>
              <w:t xml:space="preserve">Европа за заштита на лица при автоматска обработка на податоци (ETS </w:t>
            </w:r>
            <w:proofErr w:type="spellStart"/>
            <w:r>
              <w:rPr>
                <w:b/>
                <w:sz w:val="20"/>
              </w:rPr>
              <w:t>No</w:t>
            </w:r>
            <w:proofErr w:type="spellEnd"/>
            <w:r>
              <w:rPr>
                <w:b/>
                <w:sz w:val="20"/>
              </w:rPr>
              <w:t>. 108).</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14319A92" w14:textId="77777777" w:rsidR="00A52A9A" w:rsidRDefault="00A52A9A" w:rsidP="00A86A0C">
            <w:pPr>
              <w:pStyle w:val="TableContents"/>
              <w:jc w:val="both"/>
            </w:pPr>
          </w:p>
        </w:tc>
      </w:tr>
      <w:tr w:rsidR="00A52A9A" w14:paraId="02191F23"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7AADAC34" w14:textId="77777777" w:rsidR="00A52A9A" w:rsidRDefault="00A52A9A" w:rsidP="00A86A0C">
            <w:pPr>
              <w:pStyle w:val="TableContents"/>
              <w:spacing w:after="0"/>
              <w:jc w:val="both"/>
            </w:pPr>
            <w:r>
              <w:rPr>
                <w:b/>
                <w:sz w:val="20"/>
              </w:rPr>
              <w:t>3.6.4 Остварување на правото на обесштетување на деца -жртви на трговија со луѓе преку донесување и објавување на: -Програма за обесштетување на дете жртва согласно Законот за правда за децата и -Информација за спроведувањето на Програмата за обесштетување на дете жртва.</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73B44F55" w14:textId="77777777" w:rsidR="00A52A9A" w:rsidRPr="009C1913" w:rsidRDefault="00A52A9A" w:rsidP="00A86A0C">
            <w:pPr>
              <w:pStyle w:val="TableContents"/>
              <w:jc w:val="both"/>
              <w:rPr>
                <w:sz w:val="20"/>
                <w:szCs w:val="20"/>
              </w:rPr>
            </w:pPr>
            <w:r w:rsidRPr="009C1913">
              <w:rPr>
                <w:sz w:val="20"/>
                <w:szCs w:val="20"/>
              </w:rPr>
              <w:t xml:space="preserve">Согласно одредбите од Законот за правда на децата,  во рамки на Министерството за правда  </w:t>
            </w:r>
            <w:proofErr w:type="spellStart"/>
            <w:r w:rsidRPr="009C1913">
              <w:rPr>
                <w:sz w:val="20"/>
                <w:szCs w:val="20"/>
                <w:lang w:val="en-US"/>
              </w:rPr>
              <w:t>донесена</w:t>
            </w:r>
            <w:proofErr w:type="spellEnd"/>
            <w:r w:rsidRPr="009C1913">
              <w:rPr>
                <w:sz w:val="20"/>
                <w:szCs w:val="20"/>
                <w:lang w:val="en-US"/>
              </w:rPr>
              <w:t xml:space="preserve"> е </w:t>
            </w:r>
            <w:proofErr w:type="spellStart"/>
            <w:r w:rsidRPr="009C1913">
              <w:rPr>
                <w:sz w:val="20"/>
                <w:szCs w:val="20"/>
                <w:lang w:val="en-US"/>
              </w:rPr>
              <w:t>Програма</w:t>
            </w:r>
            <w:proofErr w:type="spellEnd"/>
            <w:r w:rsidRPr="009C1913">
              <w:rPr>
                <w:sz w:val="20"/>
                <w:szCs w:val="20"/>
                <w:lang w:val="en-US"/>
              </w:rPr>
              <w:t xml:space="preserve"> </w:t>
            </w:r>
            <w:proofErr w:type="spellStart"/>
            <w:r w:rsidRPr="009C1913">
              <w:rPr>
                <w:sz w:val="20"/>
                <w:szCs w:val="20"/>
                <w:lang w:val="en-US"/>
              </w:rPr>
              <w:t>за</w:t>
            </w:r>
            <w:proofErr w:type="spellEnd"/>
            <w:r w:rsidRPr="009C1913">
              <w:rPr>
                <w:sz w:val="20"/>
                <w:szCs w:val="20"/>
                <w:lang w:val="en-US"/>
              </w:rPr>
              <w:t xml:space="preserve"> </w:t>
            </w:r>
            <w:proofErr w:type="spellStart"/>
            <w:r w:rsidRPr="009C1913">
              <w:rPr>
                <w:sz w:val="20"/>
                <w:szCs w:val="20"/>
                <w:lang w:val="en-US"/>
              </w:rPr>
              <w:t>обештетување</w:t>
            </w:r>
            <w:proofErr w:type="spellEnd"/>
            <w:r w:rsidRPr="009C1913">
              <w:rPr>
                <w:sz w:val="20"/>
                <w:szCs w:val="20"/>
                <w:lang w:val="en-US"/>
              </w:rPr>
              <w:t xml:space="preserve"> </w:t>
            </w:r>
            <w:proofErr w:type="spellStart"/>
            <w:r w:rsidRPr="009C1913">
              <w:rPr>
                <w:sz w:val="20"/>
                <w:szCs w:val="20"/>
                <w:lang w:val="en-US"/>
              </w:rPr>
              <w:t>на</w:t>
            </w:r>
            <w:proofErr w:type="spellEnd"/>
            <w:r w:rsidRPr="009C1913">
              <w:rPr>
                <w:sz w:val="20"/>
                <w:szCs w:val="20"/>
                <w:lang w:val="en-US"/>
              </w:rPr>
              <w:t xml:space="preserve"> </w:t>
            </w:r>
            <w:proofErr w:type="spellStart"/>
            <w:r w:rsidRPr="009C1913">
              <w:rPr>
                <w:sz w:val="20"/>
                <w:szCs w:val="20"/>
                <w:lang w:val="en-US"/>
              </w:rPr>
              <w:t>дете</w:t>
            </w:r>
            <w:proofErr w:type="spellEnd"/>
            <w:r w:rsidRPr="009C1913">
              <w:rPr>
                <w:sz w:val="20"/>
                <w:szCs w:val="20"/>
                <w:lang w:val="en-US"/>
              </w:rPr>
              <w:t xml:space="preserve">  </w:t>
            </w:r>
            <w:proofErr w:type="spellStart"/>
            <w:r w:rsidRPr="009C1913">
              <w:rPr>
                <w:sz w:val="20"/>
                <w:szCs w:val="20"/>
                <w:lang w:val="en-US"/>
              </w:rPr>
              <w:t>жртва</w:t>
            </w:r>
            <w:proofErr w:type="spellEnd"/>
            <w:r w:rsidRPr="009C1913">
              <w:rPr>
                <w:sz w:val="20"/>
                <w:szCs w:val="20"/>
                <w:lang w:val="en-US"/>
              </w:rPr>
              <w:t xml:space="preserve">  </w:t>
            </w:r>
            <w:proofErr w:type="spellStart"/>
            <w:r w:rsidRPr="009C1913">
              <w:rPr>
                <w:sz w:val="20"/>
                <w:szCs w:val="20"/>
                <w:lang w:val="en-US"/>
              </w:rPr>
              <w:t>за</w:t>
            </w:r>
            <w:proofErr w:type="spellEnd"/>
            <w:r w:rsidRPr="009C1913">
              <w:rPr>
                <w:sz w:val="20"/>
                <w:szCs w:val="20"/>
                <w:lang w:val="en-US"/>
              </w:rPr>
              <w:t xml:space="preserve"> 2022 </w:t>
            </w:r>
            <w:proofErr w:type="spellStart"/>
            <w:r w:rsidRPr="009C1913">
              <w:rPr>
                <w:sz w:val="20"/>
                <w:szCs w:val="20"/>
                <w:lang w:val="en-US"/>
              </w:rPr>
              <w:t>година</w:t>
            </w:r>
            <w:proofErr w:type="spellEnd"/>
            <w:r w:rsidRPr="009C1913">
              <w:rPr>
                <w:sz w:val="20"/>
                <w:szCs w:val="20"/>
                <w:lang w:val="en-US"/>
              </w:rPr>
              <w:t xml:space="preserve">, </w:t>
            </w:r>
            <w:proofErr w:type="spellStart"/>
            <w:r w:rsidRPr="009C1913">
              <w:rPr>
                <w:sz w:val="20"/>
                <w:szCs w:val="20"/>
                <w:lang w:val="en-US"/>
              </w:rPr>
              <w:t>преку</w:t>
            </w:r>
            <w:proofErr w:type="spellEnd"/>
            <w:r w:rsidRPr="009C1913">
              <w:rPr>
                <w:sz w:val="20"/>
                <w:szCs w:val="20"/>
                <w:lang w:val="en-US"/>
              </w:rPr>
              <w:t xml:space="preserve"> </w:t>
            </w:r>
            <w:proofErr w:type="spellStart"/>
            <w:r w:rsidRPr="009C1913">
              <w:rPr>
                <w:sz w:val="20"/>
                <w:szCs w:val="20"/>
                <w:lang w:val="en-US"/>
              </w:rPr>
              <w:t>која</w:t>
            </w:r>
            <w:proofErr w:type="spellEnd"/>
            <w:r w:rsidRPr="009C1913">
              <w:rPr>
                <w:sz w:val="20"/>
                <w:szCs w:val="20"/>
                <w:lang w:val="en-US"/>
              </w:rPr>
              <w:t xml:space="preserve"> </w:t>
            </w:r>
            <w:proofErr w:type="spellStart"/>
            <w:r w:rsidRPr="009C1913">
              <w:rPr>
                <w:sz w:val="20"/>
                <w:szCs w:val="20"/>
                <w:lang w:val="en-US"/>
              </w:rPr>
              <w:t>се</w:t>
            </w:r>
            <w:proofErr w:type="spellEnd"/>
            <w:r w:rsidRPr="009C1913">
              <w:rPr>
                <w:sz w:val="20"/>
                <w:szCs w:val="20"/>
                <w:lang w:val="en-US"/>
              </w:rPr>
              <w:t xml:space="preserve"> </w:t>
            </w:r>
            <w:proofErr w:type="spellStart"/>
            <w:r w:rsidRPr="009C1913">
              <w:rPr>
                <w:sz w:val="20"/>
                <w:szCs w:val="20"/>
                <w:lang w:val="en-US"/>
              </w:rPr>
              <w:t>обезбедуваат</w:t>
            </w:r>
            <w:proofErr w:type="spellEnd"/>
            <w:r w:rsidRPr="009C1913">
              <w:rPr>
                <w:sz w:val="20"/>
                <w:szCs w:val="20"/>
                <w:lang w:val="en-US"/>
              </w:rPr>
              <w:t xml:space="preserve"> </w:t>
            </w:r>
            <w:proofErr w:type="spellStart"/>
            <w:r w:rsidRPr="009C1913">
              <w:rPr>
                <w:sz w:val="20"/>
                <w:szCs w:val="20"/>
                <w:lang w:val="en-US"/>
              </w:rPr>
              <w:t>средствата</w:t>
            </w:r>
            <w:proofErr w:type="spellEnd"/>
            <w:r w:rsidRPr="009C1913">
              <w:rPr>
                <w:sz w:val="20"/>
                <w:szCs w:val="20"/>
                <w:lang w:val="en-US"/>
              </w:rPr>
              <w:t xml:space="preserve"> </w:t>
            </w:r>
            <w:proofErr w:type="spellStart"/>
            <w:r w:rsidRPr="009C1913">
              <w:rPr>
                <w:sz w:val="20"/>
                <w:szCs w:val="20"/>
                <w:lang w:val="en-US"/>
              </w:rPr>
              <w:t>за</w:t>
            </w:r>
            <w:proofErr w:type="spellEnd"/>
            <w:r w:rsidRPr="009C1913">
              <w:rPr>
                <w:sz w:val="20"/>
                <w:szCs w:val="20"/>
                <w:lang w:val="en-US"/>
              </w:rPr>
              <w:t xml:space="preserve"> </w:t>
            </w:r>
            <w:proofErr w:type="spellStart"/>
            <w:r w:rsidRPr="009C1913">
              <w:rPr>
                <w:sz w:val="20"/>
                <w:szCs w:val="20"/>
                <w:lang w:val="en-US"/>
              </w:rPr>
              <w:t>обештетување</w:t>
            </w:r>
            <w:proofErr w:type="spellEnd"/>
            <w:r w:rsidRPr="009C1913">
              <w:rPr>
                <w:sz w:val="20"/>
                <w:szCs w:val="20"/>
                <w:lang w:val="en-US"/>
              </w:rPr>
              <w:t>.</w:t>
            </w:r>
          </w:p>
          <w:p w14:paraId="6754673D" w14:textId="77777777" w:rsidR="00A52A9A" w:rsidRPr="009C1913" w:rsidRDefault="00A52A9A" w:rsidP="00A86A0C">
            <w:pPr>
              <w:pStyle w:val="TableContents"/>
              <w:jc w:val="both"/>
              <w:rPr>
                <w:sz w:val="20"/>
                <w:szCs w:val="20"/>
              </w:rPr>
            </w:pPr>
            <w:proofErr w:type="spellStart"/>
            <w:r w:rsidRPr="009C1913">
              <w:rPr>
                <w:sz w:val="20"/>
                <w:szCs w:val="20"/>
                <w:lang w:val="en-US"/>
              </w:rPr>
              <w:t>Процентот</w:t>
            </w:r>
            <w:proofErr w:type="spellEnd"/>
            <w:r w:rsidRPr="009C1913">
              <w:rPr>
                <w:sz w:val="20"/>
                <w:szCs w:val="20"/>
                <w:lang w:val="en-US"/>
              </w:rPr>
              <w:t xml:space="preserve"> </w:t>
            </w:r>
            <w:proofErr w:type="spellStart"/>
            <w:r w:rsidRPr="009C1913">
              <w:rPr>
                <w:sz w:val="20"/>
                <w:szCs w:val="20"/>
                <w:lang w:val="en-US"/>
              </w:rPr>
              <w:t>на</w:t>
            </w:r>
            <w:proofErr w:type="spellEnd"/>
            <w:r w:rsidRPr="009C1913">
              <w:rPr>
                <w:sz w:val="20"/>
                <w:szCs w:val="20"/>
                <w:lang w:val="en-US"/>
              </w:rPr>
              <w:t xml:space="preserve"> </w:t>
            </w:r>
            <w:proofErr w:type="spellStart"/>
            <w:r w:rsidRPr="009C1913">
              <w:rPr>
                <w:sz w:val="20"/>
                <w:szCs w:val="20"/>
                <w:lang w:val="en-US"/>
              </w:rPr>
              <w:t>спроведување</w:t>
            </w:r>
            <w:proofErr w:type="spellEnd"/>
            <w:r w:rsidRPr="009C1913">
              <w:rPr>
                <w:sz w:val="20"/>
                <w:szCs w:val="20"/>
                <w:lang w:val="en-US"/>
              </w:rPr>
              <w:t xml:space="preserve"> </w:t>
            </w:r>
            <w:proofErr w:type="spellStart"/>
            <w:r w:rsidRPr="009C1913">
              <w:rPr>
                <w:sz w:val="20"/>
                <w:szCs w:val="20"/>
                <w:lang w:val="en-US"/>
              </w:rPr>
              <w:t>на</w:t>
            </w:r>
            <w:proofErr w:type="spellEnd"/>
            <w:r w:rsidRPr="009C1913">
              <w:rPr>
                <w:sz w:val="20"/>
                <w:szCs w:val="20"/>
                <w:lang w:val="en-US"/>
              </w:rPr>
              <w:t xml:space="preserve"> </w:t>
            </w:r>
            <w:proofErr w:type="spellStart"/>
            <w:proofErr w:type="gramStart"/>
            <w:r w:rsidRPr="009C1913">
              <w:rPr>
                <w:sz w:val="20"/>
                <w:szCs w:val="20"/>
                <w:lang w:val="en-US"/>
              </w:rPr>
              <w:t>Програмата</w:t>
            </w:r>
            <w:proofErr w:type="spellEnd"/>
            <w:r w:rsidRPr="009C1913">
              <w:rPr>
                <w:sz w:val="20"/>
                <w:szCs w:val="20"/>
                <w:lang w:val="en-US"/>
              </w:rPr>
              <w:t>  </w:t>
            </w:r>
            <w:proofErr w:type="spellStart"/>
            <w:r w:rsidRPr="009C1913">
              <w:rPr>
                <w:sz w:val="20"/>
                <w:szCs w:val="20"/>
                <w:lang w:val="en-US"/>
              </w:rPr>
              <w:t>не</w:t>
            </w:r>
            <w:proofErr w:type="spellEnd"/>
            <w:proofErr w:type="gramEnd"/>
            <w:r w:rsidRPr="009C1913">
              <w:rPr>
                <w:sz w:val="20"/>
                <w:szCs w:val="20"/>
                <w:lang w:val="en-US"/>
              </w:rPr>
              <w:t xml:space="preserve"> </w:t>
            </w:r>
            <w:proofErr w:type="spellStart"/>
            <w:r w:rsidRPr="009C1913">
              <w:rPr>
                <w:sz w:val="20"/>
                <w:szCs w:val="20"/>
                <w:lang w:val="en-US"/>
              </w:rPr>
              <w:t>може</w:t>
            </w:r>
            <w:proofErr w:type="spellEnd"/>
            <w:r w:rsidRPr="009C1913">
              <w:rPr>
                <w:sz w:val="20"/>
                <w:szCs w:val="20"/>
                <w:lang w:val="en-US"/>
              </w:rPr>
              <w:t xml:space="preserve"> </w:t>
            </w:r>
            <w:proofErr w:type="spellStart"/>
            <w:r w:rsidRPr="009C1913">
              <w:rPr>
                <w:sz w:val="20"/>
                <w:szCs w:val="20"/>
                <w:lang w:val="en-US"/>
              </w:rPr>
              <w:t>да</w:t>
            </w:r>
            <w:proofErr w:type="spellEnd"/>
            <w:r w:rsidRPr="009C1913">
              <w:rPr>
                <w:sz w:val="20"/>
                <w:szCs w:val="20"/>
                <w:lang w:val="en-US"/>
              </w:rPr>
              <w:t xml:space="preserve"> </w:t>
            </w:r>
            <w:proofErr w:type="spellStart"/>
            <w:r w:rsidRPr="009C1913">
              <w:rPr>
                <w:sz w:val="20"/>
                <w:szCs w:val="20"/>
                <w:lang w:val="en-US"/>
              </w:rPr>
              <w:t>согледа</w:t>
            </w:r>
            <w:proofErr w:type="spellEnd"/>
            <w:r w:rsidRPr="009C1913">
              <w:rPr>
                <w:sz w:val="20"/>
                <w:szCs w:val="20"/>
                <w:lang w:val="en-US"/>
              </w:rPr>
              <w:t xml:space="preserve">, </w:t>
            </w:r>
            <w:proofErr w:type="spellStart"/>
            <w:r w:rsidRPr="009C1913">
              <w:rPr>
                <w:sz w:val="20"/>
                <w:szCs w:val="20"/>
                <w:lang w:val="en-US"/>
              </w:rPr>
              <w:t>бидејќи</w:t>
            </w:r>
            <w:proofErr w:type="spellEnd"/>
            <w:r w:rsidRPr="009C1913">
              <w:rPr>
                <w:sz w:val="20"/>
                <w:szCs w:val="20"/>
                <w:lang w:val="en-US"/>
              </w:rPr>
              <w:t xml:space="preserve">  </w:t>
            </w:r>
            <w:proofErr w:type="spellStart"/>
            <w:r w:rsidRPr="009C1913">
              <w:rPr>
                <w:sz w:val="20"/>
                <w:szCs w:val="20"/>
                <w:lang w:val="en-US"/>
              </w:rPr>
              <w:t>заклучно</w:t>
            </w:r>
            <w:proofErr w:type="spellEnd"/>
            <w:r w:rsidRPr="009C1913">
              <w:rPr>
                <w:sz w:val="20"/>
                <w:szCs w:val="20"/>
                <w:lang w:val="en-US"/>
              </w:rPr>
              <w:t xml:space="preserve"> </w:t>
            </w:r>
            <w:proofErr w:type="spellStart"/>
            <w:r w:rsidRPr="009C1913">
              <w:rPr>
                <w:sz w:val="20"/>
                <w:szCs w:val="20"/>
                <w:lang w:val="en-US"/>
              </w:rPr>
              <w:t>со</w:t>
            </w:r>
            <w:proofErr w:type="spellEnd"/>
            <w:r w:rsidRPr="009C1913">
              <w:rPr>
                <w:sz w:val="20"/>
                <w:szCs w:val="20"/>
                <w:lang w:val="en-US"/>
              </w:rPr>
              <w:t xml:space="preserve"> </w:t>
            </w:r>
            <w:proofErr w:type="spellStart"/>
            <w:r w:rsidRPr="009C1913">
              <w:rPr>
                <w:sz w:val="20"/>
                <w:szCs w:val="20"/>
                <w:lang w:val="en-US"/>
              </w:rPr>
              <w:t>јуни</w:t>
            </w:r>
            <w:proofErr w:type="spellEnd"/>
            <w:r w:rsidRPr="009C1913">
              <w:rPr>
                <w:sz w:val="20"/>
                <w:szCs w:val="20"/>
                <w:lang w:val="en-US"/>
              </w:rPr>
              <w:t xml:space="preserve"> 2022 </w:t>
            </w:r>
            <w:proofErr w:type="spellStart"/>
            <w:r w:rsidRPr="009C1913">
              <w:rPr>
                <w:sz w:val="20"/>
                <w:szCs w:val="20"/>
                <w:lang w:val="en-US"/>
              </w:rPr>
              <w:t>година</w:t>
            </w:r>
            <w:proofErr w:type="spellEnd"/>
            <w:r w:rsidRPr="009C1913">
              <w:rPr>
                <w:sz w:val="20"/>
                <w:szCs w:val="20"/>
                <w:lang w:val="en-US"/>
              </w:rPr>
              <w:t xml:space="preserve">  </w:t>
            </w:r>
            <w:proofErr w:type="spellStart"/>
            <w:r w:rsidRPr="009C1913">
              <w:rPr>
                <w:sz w:val="20"/>
                <w:szCs w:val="20"/>
                <w:lang w:val="en-US"/>
              </w:rPr>
              <w:t>од</w:t>
            </w:r>
            <w:proofErr w:type="spellEnd"/>
            <w:r w:rsidRPr="009C1913">
              <w:rPr>
                <w:sz w:val="20"/>
                <w:szCs w:val="20"/>
                <w:lang w:val="en-US"/>
              </w:rPr>
              <w:t xml:space="preserve"> </w:t>
            </w:r>
            <w:proofErr w:type="spellStart"/>
            <w:r w:rsidRPr="009C1913">
              <w:rPr>
                <w:sz w:val="20"/>
                <w:szCs w:val="20"/>
                <w:lang w:val="en-US"/>
              </w:rPr>
              <w:t>страна</w:t>
            </w:r>
            <w:proofErr w:type="spellEnd"/>
            <w:r w:rsidRPr="009C1913">
              <w:rPr>
                <w:sz w:val="20"/>
                <w:szCs w:val="20"/>
                <w:lang w:val="en-US"/>
              </w:rPr>
              <w:t xml:space="preserve"> </w:t>
            </w:r>
            <w:proofErr w:type="spellStart"/>
            <w:r w:rsidRPr="009C1913">
              <w:rPr>
                <w:sz w:val="20"/>
                <w:szCs w:val="20"/>
                <w:lang w:val="en-US"/>
              </w:rPr>
              <w:t>на</w:t>
            </w:r>
            <w:proofErr w:type="spellEnd"/>
            <w:r w:rsidRPr="009C1913">
              <w:rPr>
                <w:sz w:val="20"/>
                <w:szCs w:val="20"/>
                <w:lang w:val="en-US"/>
              </w:rPr>
              <w:t xml:space="preserve"> </w:t>
            </w:r>
            <w:proofErr w:type="spellStart"/>
            <w:r w:rsidRPr="009C1913">
              <w:rPr>
                <w:sz w:val="20"/>
                <w:szCs w:val="20"/>
                <w:lang w:val="en-US"/>
              </w:rPr>
              <w:t>судовите</w:t>
            </w:r>
            <w:proofErr w:type="spellEnd"/>
            <w:r w:rsidRPr="009C1913">
              <w:rPr>
                <w:sz w:val="20"/>
                <w:szCs w:val="20"/>
                <w:lang w:val="en-US"/>
              </w:rPr>
              <w:t xml:space="preserve">  </w:t>
            </w:r>
            <w:proofErr w:type="spellStart"/>
            <w:r w:rsidRPr="009C1913">
              <w:rPr>
                <w:sz w:val="20"/>
                <w:szCs w:val="20"/>
                <w:lang w:val="en-US"/>
              </w:rPr>
              <w:t>до</w:t>
            </w:r>
            <w:proofErr w:type="spellEnd"/>
            <w:r w:rsidRPr="009C1913">
              <w:rPr>
                <w:sz w:val="20"/>
                <w:szCs w:val="20"/>
                <w:lang w:val="en-US"/>
              </w:rPr>
              <w:t xml:space="preserve"> </w:t>
            </w:r>
            <w:proofErr w:type="spellStart"/>
            <w:r w:rsidRPr="009C1913">
              <w:rPr>
                <w:sz w:val="20"/>
                <w:szCs w:val="20"/>
                <w:lang w:val="en-US"/>
              </w:rPr>
              <w:t>министерството</w:t>
            </w:r>
            <w:proofErr w:type="spellEnd"/>
            <w:r w:rsidRPr="009C1913">
              <w:rPr>
                <w:sz w:val="20"/>
                <w:szCs w:val="20"/>
                <w:lang w:val="en-US"/>
              </w:rPr>
              <w:t xml:space="preserve"> </w:t>
            </w:r>
            <w:proofErr w:type="spellStart"/>
            <w:r w:rsidRPr="009C1913">
              <w:rPr>
                <w:sz w:val="20"/>
                <w:szCs w:val="20"/>
                <w:lang w:val="en-US"/>
              </w:rPr>
              <w:t>сеуште</w:t>
            </w:r>
            <w:proofErr w:type="spellEnd"/>
            <w:r w:rsidRPr="009C1913">
              <w:rPr>
                <w:sz w:val="20"/>
                <w:szCs w:val="20"/>
                <w:lang w:val="en-US"/>
              </w:rPr>
              <w:t xml:space="preserve">  </w:t>
            </w:r>
            <w:proofErr w:type="spellStart"/>
            <w:r w:rsidRPr="009C1913">
              <w:rPr>
                <w:sz w:val="20"/>
                <w:szCs w:val="20"/>
                <w:lang w:val="en-US"/>
              </w:rPr>
              <w:t>не</w:t>
            </w:r>
            <w:proofErr w:type="spellEnd"/>
            <w:r w:rsidRPr="009C1913">
              <w:rPr>
                <w:sz w:val="20"/>
                <w:szCs w:val="20"/>
                <w:lang w:val="en-US"/>
              </w:rPr>
              <w:t xml:space="preserve"> </w:t>
            </w:r>
            <w:proofErr w:type="spellStart"/>
            <w:r w:rsidRPr="009C1913">
              <w:rPr>
                <w:sz w:val="20"/>
                <w:szCs w:val="20"/>
                <w:lang w:val="en-US"/>
              </w:rPr>
              <w:t>се</w:t>
            </w:r>
            <w:proofErr w:type="spellEnd"/>
            <w:r w:rsidRPr="009C1913">
              <w:rPr>
                <w:sz w:val="20"/>
                <w:szCs w:val="20"/>
                <w:lang w:val="en-US"/>
              </w:rPr>
              <w:t xml:space="preserve"> </w:t>
            </w:r>
            <w:proofErr w:type="spellStart"/>
            <w:r w:rsidRPr="009C1913">
              <w:rPr>
                <w:sz w:val="20"/>
                <w:szCs w:val="20"/>
                <w:lang w:val="en-US"/>
              </w:rPr>
              <w:t>донесени</w:t>
            </w:r>
            <w:proofErr w:type="spellEnd"/>
            <w:r w:rsidRPr="009C1913">
              <w:rPr>
                <w:sz w:val="20"/>
                <w:szCs w:val="20"/>
                <w:lang w:val="en-US"/>
              </w:rPr>
              <w:t xml:space="preserve"> </w:t>
            </w:r>
            <w:proofErr w:type="spellStart"/>
            <w:r w:rsidRPr="009C1913">
              <w:rPr>
                <w:sz w:val="20"/>
                <w:szCs w:val="20"/>
                <w:lang w:val="en-US"/>
              </w:rPr>
              <w:t>Решенија</w:t>
            </w:r>
            <w:proofErr w:type="spellEnd"/>
            <w:r w:rsidRPr="009C1913">
              <w:rPr>
                <w:sz w:val="20"/>
                <w:szCs w:val="20"/>
                <w:lang w:val="en-US"/>
              </w:rPr>
              <w:t xml:space="preserve"> </w:t>
            </w:r>
            <w:proofErr w:type="spellStart"/>
            <w:r w:rsidRPr="009C1913">
              <w:rPr>
                <w:sz w:val="20"/>
                <w:szCs w:val="20"/>
                <w:lang w:val="en-US"/>
              </w:rPr>
              <w:t>за</w:t>
            </w:r>
            <w:proofErr w:type="spellEnd"/>
            <w:r w:rsidRPr="009C1913">
              <w:rPr>
                <w:sz w:val="20"/>
                <w:szCs w:val="20"/>
                <w:lang w:val="en-US"/>
              </w:rPr>
              <w:t xml:space="preserve"> </w:t>
            </w:r>
            <w:proofErr w:type="spellStart"/>
            <w:r w:rsidRPr="009C1913">
              <w:rPr>
                <w:sz w:val="20"/>
                <w:szCs w:val="20"/>
                <w:lang w:val="en-US"/>
              </w:rPr>
              <w:t>обештетување</w:t>
            </w:r>
            <w:proofErr w:type="spellEnd"/>
            <w:r w:rsidRPr="009C1913">
              <w:rPr>
                <w:sz w:val="20"/>
                <w:szCs w:val="20"/>
                <w:lang w:val="en-US"/>
              </w:rPr>
              <w:t xml:space="preserve"> </w:t>
            </w:r>
            <w:proofErr w:type="spellStart"/>
            <w:r w:rsidRPr="009C1913">
              <w:rPr>
                <w:sz w:val="20"/>
                <w:szCs w:val="20"/>
                <w:lang w:val="en-US"/>
              </w:rPr>
              <w:t>на</w:t>
            </w:r>
            <w:proofErr w:type="spellEnd"/>
            <w:r w:rsidRPr="009C1913">
              <w:rPr>
                <w:sz w:val="20"/>
                <w:szCs w:val="20"/>
                <w:lang w:val="en-US"/>
              </w:rPr>
              <w:t xml:space="preserve"> </w:t>
            </w:r>
            <w:proofErr w:type="spellStart"/>
            <w:r w:rsidRPr="009C1913">
              <w:rPr>
                <w:sz w:val="20"/>
                <w:szCs w:val="20"/>
                <w:lang w:val="en-US"/>
              </w:rPr>
              <w:t>дете</w:t>
            </w:r>
            <w:proofErr w:type="spellEnd"/>
            <w:r w:rsidRPr="009C1913">
              <w:rPr>
                <w:sz w:val="20"/>
                <w:szCs w:val="20"/>
                <w:lang w:val="en-US"/>
              </w:rPr>
              <w:t xml:space="preserve"> </w:t>
            </w:r>
            <w:proofErr w:type="spellStart"/>
            <w:r w:rsidRPr="009C1913">
              <w:rPr>
                <w:sz w:val="20"/>
                <w:szCs w:val="20"/>
                <w:lang w:val="en-US"/>
              </w:rPr>
              <w:t>жртва</w:t>
            </w:r>
            <w:proofErr w:type="spellEnd"/>
            <w:r w:rsidRPr="009C1913">
              <w:rPr>
                <w:sz w:val="20"/>
                <w:szCs w:val="20"/>
                <w:lang w:val="en-US"/>
              </w:rPr>
              <w:t xml:space="preserve"> </w:t>
            </w:r>
            <w:proofErr w:type="spellStart"/>
            <w:r w:rsidRPr="009C1913">
              <w:rPr>
                <w:sz w:val="20"/>
                <w:szCs w:val="20"/>
                <w:lang w:val="en-US"/>
              </w:rPr>
              <w:t>на</w:t>
            </w:r>
            <w:proofErr w:type="spellEnd"/>
            <w:r w:rsidRPr="009C1913">
              <w:rPr>
                <w:sz w:val="20"/>
                <w:szCs w:val="20"/>
                <w:lang w:val="en-US"/>
              </w:rPr>
              <w:t xml:space="preserve"> </w:t>
            </w:r>
            <w:proofErr w:type="spellStart"/>
            <w:r w:rsidRPr="009C1913">
              <w:rPr>
                <w:sz w:val="20"/>
                <w:szCs w:val="20"/>
                <w:lang w:val="en-US"/>
              </w:rPr>
              <w:t>трговија</w:t>
            </w:r>
            <w:proofErr w:type="spellEnd"/>
            <w:r w:rsidRPr="009C1913">
              <w:rPr>
                <w:sz w:val="20"/>
                <w:szCs w:val="20"/>
                <w:lang w:val="en-US"/>
              </w:rPr>
              <w:t xml:space="preserve"> </w:t>
            </w:r>
            <w:proofErr w:type="spellStart"/>
            <w:r w:rsidRPr="009C1913">
              <w:rPr>
                <w:sz w:val="20"/>
                <w:szCs w:val="20"/>
                <w:lang w:val="en-US"/>
              </w:rPr>
              <w:t>со</w:t>
            </w:r>
            <w:proofErr w:type="spellEnd"/>
            <w:r w:rsidRPr="009C1913">
              <w:rPr>
                <w:sz w:val="20"/>
                <w:szCs w:val="20"/>
                <w:lang w:val="en-US"/>
              </w:rPr>
              <w:t xml:space="preserve"> </w:t>
            </w:r>
            <w:proofErr w:type="spellStart"/>
            <w:r w:rsidRPr="009C1913">
              <w:rPr>
                <w:sz w:val="20"/>
                <w:szCs w:val="20"/>
                <w:lang w:val="en-US"/>
              </w:rPr>
              <w:t>луѓе</w:t>
            </w:r>
            <w:proofErr w:type="spellEnd"/>
          </w:p>
          <w:p w14:paraId="2C0976A3" w14:textId="77777777" w:rsidR="00A52A9A" w:rsidRPr="00142F34" w:rsidRDefault="00A52A9A" w:rsidP="00A86A0C">
            <w:pPr>
              <w:pStyle w:val="TableContents"/>
              <w:jc w:val="both"/>
              <w:rPr>
                <w:sz w:val="20"/>
                <w:szCs w:val="20"/>
              </w:rPr>
            </w:pPr>
            <w:r w:rsidRPr="009C1913">
              <w:rPr>
                <w:sz w:val="20"/>
                <w:szCs w:val="20"/>
              </w:rPr>
              <w:t>Програмата е објавена во Службен весн</w:t>
            </w:r>
            <w:r>
              <w:rPr>
                <w:sz w:val="20"/>
                <w:szCs w:val="20"/>
              </w:rPr>
              <w:t>и</w:t>
            </w:r>
            <w:r w:rsidRPr="009C1913">
              <w:rPr>
                <w:sz w:val="20"/>
                <w:szCs w:val="20"/>
              </w:rPr>
              <w:t>к на РС</w:t>
            </w:r>
            <w:r>
              <w:rPr>
                <w:sz w:val="20"/>
                <w:szCs w:val="20"/>
              </w:rPr>
              <w:t xml:space="preserve"> </w:t>
            </w:r>
            <w:r w:rsidRPr="009C1913">
              <w:rPr>
                <w:sz w:val="20"/>
                <w:szCs w:val="20"/>
              </w:rPr>
              <w:t>Македонија, бр.40 од 23 февруари 2022 година и истата е достапна на страната https://pravda.gov.mk/resursi/28.</w:t>
            </w:r>
          </w:p>
        </w:tc>
      </w:tr>
      <w:tr w:rsidR="00A52A9A" w14:paraId="65543346"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18CC45FA" w14:textId="77777777" w:rsidR="00A52A9A" w:rsidRDefault="00A52A9A" w:rsidP="00A86A0C">
            <w:pPr>
              <w:pStyle w:val="TableContents"/>
              <w:spacing w:after="0"/>
              <w:jc w:val="both"/>
            </w:pPr>
            <w:r>
              <w:rPr>
                <w:b/>
                <w:sz w:val="20"/>
              </w:rPr>
              <w:t xml:space="preserve">3.6.5 Спроведени активности за подигнување на свесноста и информирање на јавноста и на жртвите за остварување на правата предвидени со Законот за исплата на паричен надоместок на жртви од кривични дела.( оваа активност ќе започне со спроведување откако овој закон ќе се донесе) </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6FA54D81" w14:textId="77777777" w:rsidR="00A52A9A" w:rsidRPr="009C1913" w:rsidRDefault="00A52A9A" w:rsidP="00A86A0C">
            <w:pPr>
              <w:pStyle w:val="TableContents"/>
              <w:rPr>
                <w:sz w:val="20"/>
                <w:szCs w:val="20"/>
              </w:rPr>
            </w:pPr>
            <w:r w:rsidRPr="009C1913">
              <w:rPr>
                <w:sz w:val="20"/>
                <w:szCs w:val="20"/>
              </w:rPr>
              <w:t>Активноста е условена со донесувањето на Законот за исплата на паричен надоместок на жртви од кривични дела, но бидејќи истиот сеуште не донесен активно</w:t>
            </w:r>
            <w:r>
              <w:rPr>
                <w:sz w:val="20"/>
                <w:szCs w:val="20"/>
              </w:rPr>
              <w:t>с</w:t>
            </w:r>
            <w:r w:rsidRPr="009C1913">
              <w:rPr>
                <w:sz w:val="20"/>
                <w:szCs w:val="20"/>
              </w:rPr>
              <w:t>та не е реализирана.</w:t>
            </w:r>
          </w:p>
          <w:p w14:paraId="339B3BDC" w14:textId="77777777" w:rsidR="00A52A9A" w:rsidRDefault="00A52A9A" w:rsidP="00A86A0C">
            <w:pPr>
              <w:pStyle w:val="TableContents"/>
              <w:jc w:val="both"/>
            </w:pPr>
          </w:p>
        </w:tc>
      </w:tr>
      <w:tr w:rsidR="00A52A9A" w14:paraId="2B8E1260"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6A3FE1CA" w14:textId="77777777" w:rsidR="00A52A9A" w:rsidRDefault="00A52A9A" w:rsidP="00A86A0C">
            <w:pPr>
              <w:pStyle w:val="TableContents"/>
              <w:spacing w:after="0"/>
              <w:jc w:val="both"/>
            </w:pPr>
            <w:r>
              <w:rPr>
                <w:b/>
                <w:sz w:val="20"/>
              </w:rPr>
              <w:t xml:space="preserve">3.6.6 Спроведени редовни обуки на медицински персонал за зајакнување на нивното знаење за </w:t>
            </w:r>
            <w:proofErr w:type="spellStart"/>
            <w:r>
              <w:rPr>
                <w:b/>
                <w:sz w:val="20"/>
              </w:rPr>
              <w:t>појавните</w:t>
            </w:r>
            <w:proofErr w:type="spellEnd"/>
            <w:r>
              <w:rPr>
                <w:b/>
                <w:sz w:val="20"/>
              </w:rPr>
              <w:t xml:space="preserve"> облици на трговија со луѓе,  </w:t>
            </w:r>
            <w:proofErr w:type="spellStart"/>
            <w:r>
              <w:rPr>
                <w:b/>
                <w:sz w:val="20"/>
              </w:rPr>
              <w:t>постоечкиот</w:t>
            </w:r>
            <w:proofErr w:type="spellEnd"/>
            <w:r>
              <w:rPr>
                <w:b/>
                <w:sz w:val="20"/>
              </w:rPr>
              <w:t xml:space="preserve"> систем за пријавување и помош и поддршка, а во насока на идентификување, пријавување и упатување на жртви на трговија со луѓе.</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2FC5E8A9" w14:textId="77777777" w:rsidR="00A52A9A" w:rsidRPr="009C1913" w:rsidRDefault="00A52A9A" w:rsidP="00A86A0C">
            <w:pPr>
              <w:pStyle w:val="TableContents"/>
              <w:jc w:val="both"/>
              <w:rPr>
                <w:sz w:val="20"/>
                <w:szCs w:val="20"/>
              </w:rPr>
            </w:pPr>
            <w:r w:rsidRPr="009C1913">
              <w:rPr>
                <w:sz w:val="20"/>
                <w:szCs w:val="20"/>
              </w:rPr>
              <w:t xml:space="preserve">Со цел спроведување на предметните обуки, Регионалната иницијатива за миграции, азил и бегалци (MARRI) во соработка со </w:t>
            </w:r>
            <w:proofErr w:type="spellStart"/>
            <w:r w:rsidRPr="009C1913">
              <w:rPr>
                <w:sz w:val="20"/>
                <w:szCs w:val="20"/>
              </w:rPr>
              <w:t>Mеѓународна</w:t>
            </w:r>
            <w:proofErr w:type="spellEnd"/>
            <w:r w:rsidRPr="009C1913">
              <w:rPr>
                <w:sz w:val="20"/>
                <w:szCs w:val="20"/>
              </w:rPr>
              <w:t xml:space="preserve"> организација за правата на децата (</w:t>
            </w:r>
            <w:proofErr w:type="spellStart"/>
            <w:r w:rsidRPr="009C1913">
              <w:rPr>
                <w:sz w:val="20"/>
                <w:szCs w:val="20"/>
              </w:rPr>
              <w:t>Terre</w:t>
            </w:r>
            <w:proofErr w:type="spellEnd"/>
            <w:r w:rsidRPr="009C1913">
              <w:rPr>
                <w:sz w:val="20"/>
                <w:szCs w:val="20"/>
              </w:rPr>
              <w:t xml:space="preserve"> </w:t>
            </w:r>
            <w:proofErr w:type="spellStart"/>
            <w:r w:rsidRPr="009C1913">
              <w:rPr>
                <w:sz w:val="20"/>
                <w:szCs w:val="20"/>
              </w:rPr>
              <w:t>des</w:t>
            </w:r>
            <w:proofErr w:type="spellEnd"/>
            <w:r w:rsidRPr="009C1913">
              <w:rPr>
                <w:sz w:val="20"/>
                <w:szCs w:val="20"/>
              </w:rPr>
              <w:t xml:space="preserve"> </w:t>
            </w:r>
            <w:proofErr w:type="spellStart"/>
            <w:r w:rsidRPr="009C1913">
              <w:rPr>
                <w:sz w:val="20"/>
                <w:szCs w:val="20"/>
              </w:rPr>
              <w:t>Hommes</w:t>
            </w:r>
            <w:proofErr w:type="spellEnd"/>
            <w:r w:rsidRPr="009C1913">
              <w:rPr>
                <w:sz w:val="20"/>
                <w:szCs w:val="20"/>
              </w:rPr>
              <w:t xml:space="preserve">), Националната комисија, Министерство за здравство, МВР, Отворена порта-Ла Страда изработи Здравствени индикатори и Водич за здравствените работници со цел идентификација и упатување на жртви /и потенцијални жртви на ТЛ во Западен Балкан. Во таа насока,  изработени се и стандардни оперативни процедури (СОП) за постапување во итни ситуации, како и  потпишан е Меморандум за соработка со цел обезбедување на неопходни медицински прегледи за потенцијалните и  жртвите </w:t>
            </w:r>
            <w:r w:rsidRPr="009C1913">
              <w:rPr>
                <w:sz w:val="20"/>
                <w:szCs w:val="20"/>
              </w:rPr>
              <w:lastRenderedPageBreak/>
              <w:t>на трговија со луѓе и други ранливи групи, спроведување на контрацептивни мерки за жртвите исто така и спроведување на обуки на медицинскиот персонал за правилно постапување со жртвите на трговија со луѓе, меѓу Отворена порта-Ла Страда и Универзитетска гинеколошката акушерска клиника – Скопје.</w:t>
            </w:r>
          </w:p>
          <w:p w14:paraId="567B72E9" w14:textId="77777777" w:rsidR="00A52A9A" w:rsidRPr="009C1913" w:rsidRDefault="00A52A9A" w:rsidP="00A86A0C">
            <w:pPr>
              <w:pStyle w:val="TableContents"/>
              <w:jc w:val="both"/>
              <w:rPr>
                <w:sz w:val="20"/>
                <w:szCs w:val="20"/>
              </w:rPr>
            </w:pPr>
            <w:r w:rsidRPr="009C1913">
              <w:rPr>
                <w:sz w:val="20"/>
                <w:szCs w:val="20"/>
              </w:rPr>
              <w:t xml:space="preserve">Во однос на едукативните активности  на медицинскиот персонал одржани се три обуки од кои две во рамки на проектот„ Зајакнување на регионалната соработка на механизмите за идентификување на жртвите и потенцијалните жртви на трговијата со луѓе на Западен Балкан„ наменети за обучувачи. Од страна на обучувачите спроведена е обука на тема „Зајакнување на знаењето за облиците на трговија со луѓе со цел препознавање и упатување до соодветна институција за добивање помош и поддршка на жртви на трговија со луѓе„  на 20  стручни лица, лекари – гинеколози на, медицински сестри, (https://lastrada.org.mk). Притоа,  одржана е обука „Претставување на здравствени индикатори и регионални стандардни оперативни процедури за идентификација на жртви на трговија со луѓе“, со  </w:t>
            </w:r>
            <w:proofErr w:type="spellStart"/>
            <w:r w:rsidRPr="009C1913">
              <w:rPr>
                <w:sz w:val="20"/>
                <w:szCs w:val="20"/>
              </w:rPr>
              <w:t>мултисекторски</w:t>
            </w:r>
            <w:proofErr w:type="spellEnd"/>
            <w:r w:rsidRPr="009C1913">
              <w:rPr>
                <w:sz w:val="20"/>
                <w:szCs w:val="20"/>
              </w:rPr>
              <w:t xml:space="preserve"> карактер  односно следена со претставници од МЗ, МВР, МТСП, Институт јавно  здравство и Отворена Порта-Ла Страда.</w:t>
            </w:r>
          </w:p>
          <w:p w14:paraId="58F4347A" w14:textId="77777777" w:rsidR="00A52A9A" w:rsidRPr="00142F34" w:rsidRDefault="00A52A9A" w:rsidP="00A86A0C">
            <w:pPr>
              <w:pStyle w:val="TableContents"/>
              <w:jc w:val="both"/>
              <w:rPr>
                <w:sz w:val="20"/>
                <w:szCs w:val="20"/>
              </w:rPr>
            </w:pPr>
            <w:r w:rsidRPr="009C1913">
              <w:rPr>
                <w:sz w:val="20"/>
                <w:szCs w:val="20"/>
              </w:rPr>
              <w:t>На обуките учествувале 27 претставници од кои 23 биле претставници  од министерство за здравство.</w:t>
            </w:r>
          </w:p>
        </w:tc>
      </w:tr>
      <w:tr w:rsidR="00A52A9A" w14:paraId="3DCAF664"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0463AF7D" w14:textId="77777777" w:rsidR="00A52A9A" w:rsidRDefault="00A52A9A" w:rsidP="00A86A0C">
            <w:pPr>
              <w:pStyle w:val="TableContents"/>
              <w:spacing w:after="0"/>
              <w:jc w:val="both"/>
            </w:pPr>
            <w:r>
              <w:rPr>
                <w:b/>
                <w:sz w:val="20"/>
              </w:rPr>
              <w:lastRenderedPageBreak/>
              <w:t xml:space="preserve">3.6.7 Спроведени информативни кампањи за охрабрување на жените и девојчињата да побараат помош и поддршка во случај на сексуално насилство, преку запознавање на јавноста со работењето и услугите кои ги нудат РЕП Центрите. </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7F50143D" w14:textId="77777777" w:rsidR="00A52A9A" w:rsidRPr="009C1913" w:rsidRDefault="00A52A9A" w:rsidP="00A86A0C">
            <w:pPr>
              <w:pStyle w:val="TableContents"/>
              <w:jc w:val="both"/>
              <w:rPr>
                <w:sz w:val="20"/>
                <w:szCs w:val="20"/>
              </w:rPr>
            </w:pPr>
            <w:r w:rsidRPr="009C1913">
              <w:rPr>
                <w:sz w:val="20"/>
                <w:szCs w:val="20"/>
              </w:rPr>
              <w:t>Во насока  на спроведување на активноста,  изработена и промовир</w:t>
            </w:r>
            <w:r>
              <w:rPr>
                <w:sz w:val="20"/>
                <w:szCs w:val="20"/>
              </w:rPr>
              <w:t>а</w:t>
            </w:r>
            <w:r w:rsidRPr="009C1913">
              <w:rPr>
                <w:sz w:val="20"/>
                <w:szCs w:val="20"/>
              </w:rPr>
              <w:t xml:space="preserve">на е Брошура „Дали си жртва на трговија со луѓе? </w:t>
            </w:r>
            <w:proofErr w:type="spellStart"/>
            <w:r w:rsidRPr="009C1913">
              <w:rPr>
                <w:sz w:val="20"/>
                <w:szCs w:val="20"/>
              </w:rPr>
              <w:t>Препознај</w:t>
            </w:r>
            <w:proofErr w:type="spellEnd"/>
            <w:r w:rsidRPr="009C1913">
              <w:rPr>
                <w:sz w:val="20"/>
                <w:szCs w:val="20"/>
              </w:rPr>
              <w:t xml:space="preserve"> ги знаците„  на  македонски, ромски, албански и англиски јазик (</w:t>
            </w:r>
            <w:hyperlink r:id="rId31" w:history="1">
              <w:r w:rsidRPr="009C1913">
                <w:rPr>
                  <w:rStyle w:val="Hyperlink"/>
                  <w:sz w:val="20"/>
                  <w:szCs w:val="20"/>
                </w:rPr>
                <w:t>https://lastrada.org.mk</w:t>
              </w:r>
            </w:hyperlink>
            <w:r w:rsidRPr="009C1913">
              <w:rPr>
                <w:sz w:val="20"/>
                <w:szCs w:val="20"/>
              </w:rPr>
              <w:t>), со цел информирање за достапните услуги и права кои може да се остварат на територијата на РС</w:t>
            </w:r>
            <w:r>
              <w:rPr>
                <w:sz w:val="20"/>
                <w:szCs w:val="20"/>
              </w:rPr>
              <w:t xml:space="preserve"> </w:t>
            </w:r>
            <w:r w:rsidRPr="009C1913">
              <w:rPr>
                <w:sz w:val="20"/>
                <w:szCs w:val="20"/>
              </w:rPr>
              <w:t xml:space="preserve">Македонија. Воедно, од страна на  Отворена порта-Ла страда реализирана е студиска посета  во Холандија со претставници од Националната Комисија, Министерството за труд и социјална политика и </w:t>
            </w:r>
            <w:r w:rsidRPr="009C1913">
              <w:rPr>
                <w:sz w:val="20"/>
                <w:szCs w:val="20"/>
              </w:rPr>
              <w:lastRenderedPageBreak/>
              <w:t>Националниот механизам за упатување, со цел  размена на  искуства и практики во областа на директна помош и поддршка на жртви на трговија со луѓе.</w:t>
            </w:r>
          </w:p>
          <w:p w14:paraId="3E257374" w14:textId="77777777" w:rsidR="00A52A9A" w:rsidRPr="00142F34" w:rsidRDefault="00A52A9A" w:rsidP="00A86A0C">
            <w:pPr>
              <w:pStyle w:val="TableContents"/>
              <w:jc w:val="both"/>
              <w:rPr>
                <w:sz w:val="20"/>
                <w:szCs w:val="20"/>
              </w:rPr>
            </w:pPr>
            <w:r w:rsidRPr="009C1913">
              <w:rPr>
                <w:sz w:val="20"/>
                <w:szCs w:val="20"/>
              </w:rPr>
              <w:t>Притоа, по повод  одбележувањето на „18 октомври- Светски ден за борба против трговијата со луѓе„ Министерството за труд и социјална политика подржувајќи ги активностите на  Националната комисија за борба против трговија со луѓе и илегална миграција и Здруженијата на граѓани по повод беше вклучено  во  видео материјалите за подигање на јавната свест за превенција од  трговијата со луѓе.</w:t>
            </w:r>
          </w:p>
        </w:tc>
      </w:tr>
      <w:tr w:rsidR="00A52A9A" w14:paraId="4C9764A0"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2E5B3E95" w14:textId="77777777" w:rsidR="00A52A9A" w:rsidRDefault="00A52A9A" w:rsidP="00A86A0C">
            <w:pPr>
              <w:pStyle w:val="TableContents"/>
              <w:spacing w:after="0"/>
              <w:jc w:val="both"/>
              <w:rPr>
                <w:b/>
                <w:sz w:val="20"/>
              </w:rPr>
            </w:pPr>
            <w:r>
              <w:rPr>
                <w:b/>
                <w:sz w:val="20"/>
              </w:rPr>
              <w:lastRenderedPageBreak/>
              <w:t>3.6.8 Воспоставени програми за доквалификација и градење на вештини за возрасните и децата потенцијални и/или жртви од ТЛ  со цел нивна поголема подготвеност за вработување, зајакнување и реинтеграција</w:t>
            </w:r>
          </w:p>
          <w:p w14:paraId="7D7CB550" w14:textId="77777777" w:rsidR="00A52A9A" w:rsidRDefault="00A52A9A" w:rsidP="00A86A0C">
            <w:pPr>
              <w:pStyle w:val="TableContents"/>
              <w:spacing w:after="0"/>
              <w:jc w:val="both"/>
            </w:pP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3444C070" w14:textId="77777777" w:rsidR="00A52A9A" w:rsidRDefault="00A52A9A" w:rsidP="00A86A0C">
            <w:pPr>
              <w:pStyle w:val="TableContents"/>
              <w:jc w:val="both"/>
            </w:pPr>
          </w:p>
        </w:tc>
      </w:tr>
      <w:tr w:rsidR="00A52A9A" w14:paraId="71DB28CE"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66FC2317" w14:textId="77777777" w:rsidR="00A52A9A" w:rsidRDefault="00A52A9A" w:rsidP="00A86A0C">
            <w:pPr>
              <w:pStyle w:val="TableContents"/>
              <w:jc w:val="center"/>
            </w:pPr>
            <w:r>
              <w:rPr>
                <w:b/>
                <w:sz w:val="20"/>
              </w:rPr>
              <w:t>3.7 Унапредување на механизмите за заштита на жртвите на вознемирување на работно место</w:t>
            </w:r>
          </w:p>
        </w:tc>
      </w:tr>
      <w:tr w:rsidR="00A52A9A" w14:paraId="06879E40"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7FB965E9"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01.10.2021-30.06.2023</w:t>
            </w:r>
          </w:p>
        </w:tc>
      </w:tr>
      <w:tr w:rsidR="00A52A9A" w14:paraId="60403F37"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FFFFFF"/>
          </w:tcPr>
          <w:p w14:paraId="1BCEA171"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DEEAF6"/>
          </w:tcPr>
          <w:p w14:paraId="61143B9F" w14:textId="77777777" w:rsidR="00A52A9A" w:rsidRPr="00142F34" w:rsidRDefault="00A52A9A" w:rsidP="00A86A0C">
            <w:pPr>
              <w:pStyle w:val="TableContents"/>
              <w:jc w:val="center"/>
              <w:rPr>
                <w:sz w:val="20"/>
                <w:szCs w:val="20"/>
              </w:rPr>
            </w:pPr>
            <w:r w:rsidRPr="00142F34">
              <w:rPr>
                <w:sz w:val="20"/>
                <w:szCs w:val="20"/>
              </w:rPr>
              <w:t>Министерство за труд и социјална политика</w:t>
            </w:r>
          </w:p>
        </w:tc>
      </w:tr>
      <w:tr w:rsidR="00A52A9A" w14:paraId="75501E82" w14:textId="77777777" w:rsidTr="00A86A0C">
        <w:tblPrEx>
          <w:tblCellMar>
            <w:left w:w="115" w:type="dxa"/>
            <w:right w:w="115" w:type="dxa"/>
          </w:tblCellMar>
        </w:tblPrEx>
        <w:tc>
          <w:tcPr>
            <w:tcW w:w="4045" w:type="dxa"/>
            <w:gridSpan w:val="2"/>
            <w:vMerge w:val="restart"/>
            <w:tcBorders>
              <w:top w:val="single" w:sz="8" w:space="0" w:color="000001"/>
              <w:left w:val="single" w:sz="8" w:space="0" w:color="000001"/>
              <w:right w:val="single" w:sz="8" w:space="0" w:color="000001"/>
            </w:tcBorders>
            <w:shd w:val="clear" w:color="auto" w:fill="FFFFFF"/>
            <w:vAlign w:val="center"/>
          </w:tcPr>
          <w:p w14:paraId="1BC615DF" w14:textId="77777777" w:rsidR="00A52A9A" w:rsidRDefault="00A52A9A" w:rsidP="00A86A0C">
            <w:pPr>
              <w:pStyle w:val="TableContents"/>
              <w:spacing w:after="0"/>
              <w:jc w:val="center"/>
            </w:pPr>
            <w:r>
              <w:rPr>
                <w:b/>
                <w:sz w:val="20"/>
              </w:rPr>
              <w:t>Статус на реализација на заложбата</w:t>
            </w:r>
          </w:p>
          <w:p w14:paraId="1941CD47"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C6CD84A" w14:textId="77777777" w:rsidR="00A52A9A" w:rsidRPr="00C631BF" w:rsidRDefault="00A52A9A" w:rsidP="00A86A0C">
            <w:pPr>
              <w:pStyle w:val="TableContents"/>
              <w:jc w:val="center"/>
              <w:rPr>
                <w:sz w:val="17"/>
                <w:szCs w:val="17"/>
              </w:rPr>
            </w:pPr>
            <w:proofErr w:type="spellStart"/>
            <w:r w:rsidRPr="00C631BF">
              <w:rPr>
                <w:b/>
                <w:color w:val="000000"/>
                <w:sz w:val="17"/>
                <w:szCs w:val="17"/>
              </w:rPr>
              <w:t>незапочнато</w:t>
            </w:r>
            <w:proofErr w:type="spellEnd"/>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46B24AE6" w14:textId="77777777" w:rsidR="00A52A9A" w:rsidRDefault="00A52A9A" w:rsidP="00A86A0C">
            <w:pPr>
              <w:pStyle w:val="TableContents"/>
              <w:jc w:val="center"/>
            </w:pPr>
            <w:r>
              <w:rPr>
                <w:b/>
                <w:color w:val="000000"/>
                <w:sz w:val="18"/>
              </w:rPr>
              <w:t>ограничено</w:t>
            </w: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0F0465A" w14:textId="77777777" w:rsidR="00A52A9A" w:rsidRDefault="00A52A9A" w:rsidP="00A86A0C">
            <w:pPr>
              <w:pStyle w:val="TableContents"/>
              <w:jc w:val="center"/>
            </w:pPr>
            <w:r>
              <w:rPr>
                <w:b/>
                <w:color w:val="000000"/>
                <w:sz w:val="18"/>
              </w:rPr>
              <w:t>значително</w:t>
            </w: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CC7BAA4" w14:textId="77777777" w:rsidR="00A52A9A" w:rsidRDefault="00A52A9A" w:rsidP="00A86A0C">
            <w:pPr>
              <w:pStyle w:val="TableContents"/>
              <w:jc w:val="center"/>
            </w:pPr>
            <w:r>
              <w:rPr>
                <w:b/>
                <w:color w:val="000000"/>
                <w:sz w:val="18"/>
              </w:rPr>
              <w:t>завршено</w:t>
            </w:r>
          </w:p>
        </w:tc>
      </w:tr>
      <w:tr w:rsidR="00A52A9A" w14:paraId="2405583E" w14:textId="77777777" w:rsidTr="00A86A0C">
        <w:tblPrEx>
          <w:tblCellMar>
            <w:left w:w="115" w:type="dxa"/>
            <w:right w:w="115" w:type="dxa"/>
          </w:tblCellMar>
        </w:tblPrEx>
        <w:tc>
          <w:tcPr>
            <w:tcW w:w="4045" w:type="dxa"/>
            <w:gridSpan w:val="2"/>
            <w:vMerge/>
            <w:tcBorders>
              <w:top w:val="single" w:sz="8" w:space="0" w:color="000001"/>
              <w:left w:val="single" w:sz="8" w:space="0" w:color="000001"/>
              <w:right w:val="single" w:sz="8" w:space="0" w:color="000001"/>
            </w:tcBorders>
            <w:shd w:val="clear" w:color="auto" w:fill="FFFFFF"/>
            <w:vAlign w:val="center"/>
          </w:tcPr>
          <w:p w14:paraId="1DAF67E0"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6D30BF95" w14:textId="77777777" w:rsidR="00A52A9A" w:rsidRDefault="00A52A9A" w:rsidP="00A86A0C">
            <w:pPr>
              <w:pStyle w:val="TableContents"/>
              <w:jc w:val="both"/>
            </w:pPr>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232B4B6" w14:textId="77777777" w:rsidR="00A52A9A" w:rsidRDefault="00A52A9A" w:rsidP="00A86A0C">
            <w:pPr>
              <w:pStyle w:val="TableContents"/>
              <w:jc w:val="both"/>
            </w:pPr>
          </w:p>
        </w:tc>
        <w:tc>
          <w:tcPr>
            <w:tcW w:w="1378" w:type="dxa"/>
            <w:tcBorders>
              <w:top w:val="single" w:sz="8" w:space="0" w:color="000001"/>
              <w:left w:val="single" w:sz="8" w:space="0" w:color="000001"/>
              <w:bottom w:val="single" w:sz="8" w:space="0" w:color="000001"/>
              <w:right w:val="single" w:sz="8" w:space="0" w:color="000001"/>
            </w:tcBorders>
            <w:shd w:val="clear" w:color="auto" w:fill="548DD4"/>
            <w:vAlign w:val="center"/>
          </w:tcPr>
          <w:p w14:paraId="6E4B6E13" w14:textId="77777777" w:rsidR="00A52A9A" w:rsidRDefault="00A52A9A" w:rsidP="00A86A0C">
            <w:pPr>
              <w:pStyle w:val="TableContents"/>
              <w:jc w:val="both"/>
            </w:pP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ECAC571" w14:textId="77777777" w:rsidR="00A52A9A" w:rsidRDefault="00A52A9A" w:rsidP="00A86A0C">
            <w:pPr>
              <w:pStyle w:val="TableContents"/>
              <w:jc w:val="both"/>
            </w:pPr>
          </w:p>
        </w:tc>
      </w:tr>
      <w:tr w:rsidR="00A52A9A" w14:paraId="36DF38AB"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BDD6EE"/>
          </w:tcPr>
          <w:p w14:paraId="7C171457" w14:textId="77777777" w:rsidR="00A52A9A" w:rsidRDefault="00A52A9A" w:rsidP="00A86A0C">
            <w:pPr>
              <w:pStyle w:val="TableContents"/>
              <w:jc w:val="center"/>
            </w:pPr>
            <w:r>
              <w:rPr>
                <w:b/>
                <w:sz w:val="20"/>
              </w:rPr>
              <w:t>Достигнувања</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BDD6EE"/>
          </w:tcPr>
          <w:p w14:paraId="1C745B4C"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7F345BE1"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2C8DCB98" w14:textId="77777777" w:rsidR="00A52A9A" w:rsidRDefault="00A52A9A" w:rsidP="00A86A0C">
            <w:pPr>
              <w:pStyle w:val="TableContents"/>
              <w:spacing w:after="0"/>
              <w:jc w:val="both"/>
            </w:pPr>
            <w:r>
              <w:rPr>
                <w:b/>
                <w:sz w:val="20"/>
              </w:rPr>
              <w:t>3.7.1 Информирани вработени во јавен и приватен сектор за нивните права за заштита од вознемирување на работно место кои произлегуваат од законот за работни односи</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tbl>
            <w:tblPr>
              <w:tblW w:w="0" w:type="auto"/>
              <w:tblLayout w:type="fixed"/>
              <w:tblCellMar>
                <w:top w:w="28" w:type="dxa"/>
                <w:left w:w="28" w:type="dxa"/>
                <w:bottom w:w="28" w:type="dxa"/>
                <w:right w:w="28" w:type="dxa"/>
              </w:tblCellMar>
              <w:tblLook w:val="0000" w:firstRow="0" w:lastRow="0" w:firstColumn="0" w:lastColumn="0" w:noHBand="0" w:noVBand="0"/>
            </w:tblPr>
            <w:tblGrid>
              <w:gridCol w:w="5244"/>
            </w:tblGrid>
            <w:tr w:rsidR="00A52A9A" w14:paraId="25EF302C" w14:textId="77777777" w:rsidTr="00A86A0C">
              <w:tc>
                <w:tcPr>
                  <w:tcW w:w="5244" w:type="dxa"/>
                  <w:shd w:val="clear" w:color="auto" w:fill="auto"/>
                  <w:vAlign w:val="center"/>
                </w:tcPr>
                <w:p w14:paraId="56C84708" w14:textId="77777777" w:rsidR="00A52A9A" w:rsidRPr="009C1913" w:rsidRDefault="00A52A9A" w:rsidP="00A86A0C">
                  <w:pPr>
                    <w:pStyle w:val="TableContents"/>
                    <w:jc w:val="both"/>
                    <w:rPr>
                      <w:sz w:val="20"/>
                      <w:szCs w:val="20"/>
                    </w:rPr>
                  </w:pPr>
                  <w:r w:rsidRPr="009C1913">
                    <w:rPr>
                      <w:sz w:val="20"/>
                      <w:szCs w:val="20"/>
                    </w:rPr>
                    <w:t>Преку проектот ,,Иднината на Работата заснована на работа заснована на достоинство и почит‚‚ Организација на жени при  Унија  на Независни Автономни Синдикати на Македонија  подготви  информативна едукативна брошура  ,,Стоп  на вознемирување на работното место‘‘.</w:t>
                  </w:r>
                </w:p>
                <w:p w14:paraId="5C59DC51" w14:textId="77777777" w:rsidR="00A52A9A" w:rsidRPr="009C1913" w:rsidRDefault="00A52A9A" w:rsidP="00A86A0C">
                  <w:pPr>
                    <w:pStyle w:val="TableContents"/>
                    <w:jc w:val="both"/>
                    <w:rPr>
                      <w:sz w:val="20"/>
                      <w:szCs w:val="20"/>
                    </w:rPr>
                  </w:pPr>
                  <w:r w:rsidRPr="009C1913">
                    <w:rPr>
                      <w:sz w:val="20"/>
                      <w:szCs w:val="20"/>
                    </w:rPr>
                    <w:lastRenderedPageBreak/>
                    <w:t>Отворени  две  СОС линии за работници за пријавување насилство и малтретирање на рабо</w:t>
                  </w:r>
                  <w:r>
                    <w:rPr>
                      <w:sz w:val="20"/>
                      <w:szCs w:val="20"/>
                    </w:rPr>
                    <w:t>т</w:t>
                  </w:r>
                  <w:r w:rsidRPr="009C1913">
                    <w:rPr>
                      <w:sz w:val="20"/>
                      <w:szCs w:val="20"/>
                    </w:rPr>
                    <w:t>ното место.</w:t>
                  </w:r>
                </w:p>
                <w:p w14:paraId="7E65E42B" w14:textId="77777777" w:rsidR="00A52A9A" w:rsidRPr="009C1913" w:rsidRDefault="00A52A9A" w:rsidP="00A86A0C">
                  <w:pPr>
                    <w:pStyle w:val="TableContents"/>
                    <w:jc w:val="both"/>
                    <w:rPr>
                      <w:sz w:val="20"/>
                      <w:szCs w:val="20"/>
                    </w:rPr>
                  </w:pPr>
                  <w:r w:rsidRPr="009C1913">
                    <w:rPr>
                      <w:sz w:val="20"/>
                      <w:szCs w:val="20"/>
                    </w:rPr>
                    <w:t>Подготвените брошури која се споделува на разни настани со цел промовирање на СОС линиите. Истите се дистрибуирани   до синдикати,  Агенција за привремени вработувања, Бизнис конфедерација на Македонија, до факултет Јустинијан 1, МРТВ и други.</w:t>
                  </w:r>
                </w:p>
              </w:tc>
            </w:tr>
          </w:tbl>
          <w:p w14:paraId="6417C6D9" w14:textId="77777777" w:rsidR="00A52A9A" w:rsidRDefault="00A52A9A" w:rsidP="00A86A0C">
            <w:pPr>
              <w:pStyle w:val="TableContents"/>
              <w:jc w:val="both"/>
            </w:pPr>
          </w:p>
        </w:tc>
      </w:tr>
      <w:tr w:rsidR="00A52A9A" w14:paraId="40314CEB"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16B5B9E8" w14:textId="77777777" w:rsidR="00A52A9A" w:rsidRDefault="00A52A9A" w:rsidP="00A86A0C">
            <w:pPr>
              <w:pStyle w:val="TableContents"/>
              <w:spacing w:after="0"/>
              <w:jc w:val="both"/>
            </w:pPr>
            <w:r>
              <w:rPr>
                <w:b/>
                <w:sz w:val="20"/>
              </w:rPr>
              <w:lastRenderedPageBreak/>
              <w:t>3.7.2 Едукација на избраните независни лица во јавениот и приватниот сектор како посредници во постапките за решавање на идентификувани случаи на мобинг</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54A9B3CD" w14:textId="77777777" w:rsidR="00A52A9A" w:rsidRPr="009C1913" w:rsidRDefault="00A52A9A" w:rsidP="00A86A0C">
            <w:pPr>
              <w:pStyle w:val="TableContents"/>
              <w:jc w:val="both"/>
              <w:rPr>
                <w:sz w:val="20"/>
                <w:szCs w:val="20"/>
              </w:rPr>
            </w:pPr>
            <w:r w:rsidRPr="009C1913">
              <w:rPr>
                <w:sz w:val="20"/>
                <w:szCs w:val="20"/>
              </w:rPr>
              <w:t xml:space="preserve">Во текот на 2021 и 2022 година  одржани се два регионални  семинари поддржани од ЕЗА и ЕУ. На семинарите присуствуваа 120 учесници. Исто така се организираа три национални работилници на кои присуствуваа 80 учесници  и една работилница на која присуствуваа  28 учесници, реализирани од    </w:t>
            </w:r>
            <w:proofErr w:type="spellStart"/>
            <w:r w:rsidRPr="009C1913">
              <w:rPr>
                <w:sz w:val="20"/>
                <w:szCs w:val="20"/>
              </w:rPr>
              <w:t>Solidarity</w:t>
            </w:r>
            <w:proofErr w:type="spellEnd"/>
            <w:r w:rsidRPr="009C1913">
              <w:rPr>
                <w:sz w:val="20"/>
                <w:szCs w:val="20"/>
              </w:rPr>
              <w:t xml:space="preserve"> </w:t>
            </w:r>
            <w:proofErr w:type="spellStart"/>
            <w:r w:rsidRPr="009C1913">
              <w:rPr>
                <w:sz w:val="20"/>
                <w:szCs w:val="20"/>
              </w:rPr>
              <w:t>Center</w:t>
            </w:r>
            <w:proofErr w:type="spellEnd"/>
            <w:r w:rsidRPr="009C1913">
              <w:rPr>
                <w:sz w:val="20"/>
                <w:szCs w:val="20"/>
              </w:rPr>
              <w:t> AFL-CIO.</w:t>
            </w:r>
          </w:p>
          <w:p w14:paraId="0D6393FF" w14:textId="77777777" w:rsidR="00A52A9A" w:rsidRPr="009C1913" w:rsidRDefault="00A52A9A" w:rsidP="00A86A0C">
            <w:pPr>
              <w:pStyle w:val="TableContents"/>
              <w:jc w:val="both"/>
              <w:rPr>
                <w:sz w:val="20"/>
                <w:szCs w:val="20"/>
              </w:rPr>
            </w:pPr>
            <w:r w:rsidRPr="009C1913">
              <w:rPr>
                <w:sz w:val="20"/>
                <w:szCs w:val="20"/>
              </w:rPr>
              <w:t>Во текот на август и септември 2022 година одржани се две  обуки на гранков синдикат  на слободно дејствување кој припаѓа на ССМ. На  првата об</w:t>
            </w:r>
            <w:r>
              <w:rPr>
                <w:sz w:val="20"/>
                <w:szCs w:val="20"/>
              </w:rPr>
              <w:t>у</w:t>
            </w:r>
            <w:r w:rsidRPr="009C1913">
              <w:rPr>
                <w:sz w:val="20"/>
                <w:szCs w:val="20"/>
              </w:rPr>
              <w:t>ка која имаше регионален карактер   учествуваа освен претставници од Република Северна Македонија   и од Босна и Херцеговина</w:t>
            </w:r>
            <w:r>
              <w:rPr>
                <w:sz w:val="20"/>
                <w:szCs w:val="20"/>
              </w:rPr>
              <w:t xml:space="preserve"> </w:t>
            </w:r>
            <w:r w:rsidRPr="009C1913">
              <w:rPr>
                <w:sz w:val="20"/>
                <w:szCs w:val="20"/>
              </w:rPr>
              <w:t>и Словенија. Тема на обуките беа заштита од вознемиру</w:t>
            </w:r>
            <w:r>
              <w:rPr>
                <w:sz w:val="20"/>
                <w:szCs w:val="20"/>
              </w:rPr>
              <w:t>в</w:t>
            </w:r>
            <w:r w:rsidRPr="009C1913">
              <w:rPr>
                <w:sz w:val="20"/>
                <w:szCs w:val="20"/>
              </w:rPr>
              <w:t>ање на работно место, мобинг комуникација  и лобирање. На двете обуки учествуваа по 25 претставници.</w:t>
            </w:r>
          </w:p>
        </w:tc>
      </w:tr>
      <w:tr w:rsidR="00A52A9A" w14:paraId="234DADE6"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3E609E73" w14:textId="77777777" w:rsidR="00A52A9A" w:rsidRDefault="00A52A9A" w:rsidP="00A86A0C">
            <w:pPr>
              <w:pStyle w:val="TableContents"/>
              <w:spacing w:after="0"/>
              <w:jc w:val="both"/>
            </w:pPr>
            <w:r>
              <w:rPr>
                <w:b/>
                <w:sz w:val="20"/>
              </w:rPr>
              <w:t>3.7.3 Спроведување на консултативен процес со сите заинтересирани страни за финализирање на предлог законот за заштита од вознемирување на работно место</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tbl>
            <w:tblPr>
              <w:tblW w:w="0" w:type="auto"/>
              <w:tblLayout w:type="fixed"/>
              <w:tblCellMar>
                <w:top w:w="28" w:type="dxa"/>
                <w:left w:w="28" w:type="dxa"/>
                <w:bottom w:w="28" w:type="dxa"/>
                <w:right w:w="28" w:type="dxa"/>
              </w:tblCellMar>
              <w:tblLook w:val="0000" w:firstRow="0" w:lastRow="0" w:firstColumn="0" w:lastColumn="0" w:noHBand="0" w:noVBand="0"/>
            </w:tblPr>
            <w:tblGrid>
              <w:gridCol w:w="5244"/>
            </w:tblGrid>
            <w:tr w:rsidR="00A52A9A" w14:paraId="7E4119C6" w14:textId="77777777" w:rsidTr="00A86A0C">
              <w:tc>
                <w:tcPr>
                  <w:tcW w:w="5244" w:type="dxa"/>
                  <w:shd w:val="clear" w:color="auto" w:fill="auto"/>
                  <w:vAlign w:val="center"/>
                </w:tcPr>
                <w:p w14:paraId="1BAB7BC5" w14:textId="77777777" w:rsidR="00A52A9A" w:rsidRPr="009C1913" w:rsidRDefault="00A52A9A" w:rsidP="00A86A0C">
                  <w:pPr>
                    <w:pStyle w:val="TableContents"/>
                    <w:jc w:val="both"/>
                    <w:rPr>
                      <w:sz w:val="20"/>
                      <w:szCs w:val="20"/>
                    </w:rPr>
                  </w:pPr>
                  <w:r w:rsidRPr="009C1913">
                    <w:rPr>
                      <w:sz w:val="20"/>
                      <w:szCs w:val="20"/>
                    </w:rPr>
                    <w:t>Министерство за труд и социјална политика   со  Решение бр.17- 3334/1 од 17.05.2020 година и со Решение за измена и дополнување број 17-3766/1  од 10.05.2022  се формира  Работна група   за подготовка на измени и дополнување на Законот за Заштита од возн</w:t>
                  </w:r>
                  <w:r>
                    <w:rPr>
                      <w:sz w:val="20"/>
                      <w:szCs w:val="20"/>
                    </w:rPr>
                    <w:t>е</w:t>
                  </w:r>
                  <w:r w:rsidRPr="009C1913">
                    <w:rPr>
                      <w:sz w:val="20"/>
                      <w:szCs w:val="20"/>
                    </w:rPr>
                    <w:t>мирување на работно место (Закон за мобинг).</w:t>
                  </w:r>
                </w:p>
                <w:p w14:paraId="1CB7EDD0" w14:textId="77777777" w:rsidR="00A52A9A" w:rsidRPr="009C1913" w:rsidRDefault="00A52A9A" w:rsidP="00A86A0C">
                  <w:pPr>
                    <w:pStyle w:val="TableContents"/>
                    <w:jc w:val="both"/>
                    <w:rPr>
                      <w:sz w:val="20"/>
                      <w:szCs w:val="20"/>
                    </w:rPr>
                  </w:pPr>
                  <w:r w:rsidRPr="009C1913">
                    <w:rPr>
                      <w:sz w:val="20"/>
                      <w:szCs w:val="20"/>
                    </w:rPr>
                    <w:t>Работната група е составена од членови номинирани од</w:t>
                  </w:r>
                  <w:r>
                    <w:rPr>
                      <w:sz w:val="20"/>
                      <w:szCs w:val="20"/>
                    </w:rPr>
                    <w:t xml:space="preserve"> </w:t>
                  </w:r>
                  <w:r w:rsidRPr="009C1913">
                    <w:rPr>
                      <w:sz w:val="20"/>
                      <w:szCs w:val="20"/>
                    </w:rPr>
                    <w:t>Министерство за труд и социјална политика, министерство за информатичко општество и админист</w:t>
                  </w:r>
                  <w:r>
                    <w:rPr>
                      <w:sz w:val="20"/>
                      <w:szCs w:val="20"/>
                    </w:rPr>
                    <w:t>ра</w:t>
                  </w:r>
                  <w:r w:rsidRPr="009C1913">
                    <w:rPr>
                      <w:sz w:val="20"/>
                      <w:szCs w:val="20"/>
                    </w:rPr>
                    <w:t>ција и други надлежни институции и организации кои во својата работа или делокруг  на надлежности имаат поврзаност со проблематиката.</w:t>
                  </w:r>
                </w:p>
                <w:p w14:paraId="572B15B5" w14:textId="77777777" w:rsidR="00A52A9A" w:rsidRPr="009C1913" w:rsidRDefault="00A52A9A" w:rsidP="00A86A0C">
                  <w:pPr>
                    <w:pStyle w:val="TableContents"/>
                    <w:jc w:val="both"/>
                    <w:rPr>
                      <w:sz w:val="20"/>
                      <w:szCs w:val="20"/>
                    </w:rPr>
                  </w:pPr>
                  <w:r w:rsidRPr="009C1913">
                    <w:rPr>
                      <w:sz w:val="20"/>
                      <w:szCs w:val="20"/>
                    </w:rPr>
                    <w:lastRenderedPageBreak/>
                    <w:t xml:space="preserve">Во рамките на проектот „Поддршка на имплементација на Национален план за </w:t>
                  </w:r>
                  <w:proofErr w:type="spellStart"/>
                  <w:r w:rsidRPr="009C1913">
                    <w:rPr>
                      <w:sz w:val="20"/>
                      <w:szCs w:val="20"/>
                    </w:rPr>
                    <w:t>Истанбулска</w:t>
                  </w:r>
                  <w:proofErr w:type="spellEnd"/>
                  <w:r w:rsidRPr="009C1913">
                    <w:rPr>
                      <w:sz w:val="20"/>
                      <w:szCs w:val="20"/>
                    </w:rPr>
                    <w:t xml:space="preserve"> конвенција“ преку Министерството за труд и социјална политика на 25.02.2022 беше ангажиран експертка од областа на заштита од вознемирување на работното место. Обврските на експертката беа:</w:t>
                  </w:r>
                </w:p>
                <w:p w14:paraId="2AECB618" w14:textId="77777777" w:rsidR="00A52A9A" w:rsidRPr="009C1913" w:rsidRDefault="00A52A9A" w:rsidP="00A86A0C">
                  <w:pPr>
                    <w:pStyle w:val="TableContents"/>
                    <w:jc w:val="both"/>
                    <w:rPr>
                      <w:sz w:val="20"/>
                      <w:szCs w:val="20"/>
                    </w:rPr>
                  </w:pPr>
                  <w:r w:rsidRPr="009C1913">
                    <w:rPr>
                      <w:sz w:val="20"/>
                      <w:szCs w:val="20"/>
                    </w:rPr>
                    <w:t>-</w:t>
                  </w:r>
                  <w:proofErr w:type="spellStart"/>
                  <w:r w:rsidRPr="009C1913">
                    <w:rPr>
                      <w:sz w:val="20"/>
                      <w:szCs w:val="20"/>
                    </w:rPr>
                    <w:t>Драфтирање</w:t>
                  </w:r>
                  <w:proofErr w:type="spellEnd"/>
                  <w:r w:rsidRPr="009C1913">
                    <w:rPr>
                      <w:sz w:val="20"/>
                      <w:szCs w:val="20"/>
                    </w:rPr>
                    <w:t xml:space="preserve"> на одредби за измени и дополни на Законот за заштита од вознемирување на работното место;</w:t>
                  </w:r>
                </w:p>
                <w:p w14:paraId="56127B6D" w14:textId="77777777" w:rsidR="00A52A9A" w:rsidRPr="009C1913" w:rsidRDefault="00A52A9A" w:rsidP="00A86A0C">
                  <w:pPr>
                    <w:pStyle w:val="TableContents"/>
                    <w:jc w:val="both"/>
                    <w:rPr>
                      <w:sz w:val="20"/>
                      <w:szCs w:val="20"/>
                    </w:rPr>
                  </w:pPr>
                  <w:r w:rsidRPr="009C1913">
                    <w:rPr>
                      <w:sz w:val="20"/>
                      <w:szCs w:val="20"/>
                    </w:rPr>
                    <w:t>-Поддршка на Работна група за Предлог измени и дополнувања на Законот за заштита од вознемирување на работното место;</w:t>
                  </w:r>
                </w:p>
                <w:p w14:paraId="1E15F418" w14:textId="77777777" w:rsidR="00A52A9A" w:rsidRPr="009C1913" w:rsidRDefault="00A52A9A" w:rsidP="00A86A0C">
                  <w:pPr>
                    <w:pStyle w:val="TableContents"/>
                    <w:jc w:val="both"/>
                    <w:rPr>
                      <w:sz w:val="20"/>
                      <w:szCs w:val="20"/>
                    </w:rPr>
                  </w:pPr>
                  <w:r w:rsidRPr="009C1913">
                    <w:rPr>
                      <w:sz w:val="20"/>
                      <w:szCs w:val="20"/>
                    </w:rPr>
                    <w:t>-Презентирање на Предлог Законот за измени и дополнување на Закон за заштита од вознемирување на работно место законот пред работната група, социјални партнери, НВО, судии, адвокати и академска јавност.</w:t>
                  </w:r>
                </w:p>
                <w:p w14:paraId="4B41FAFC" w14:textId="77777777" w:rsidR="00A52A9A" w:rsidRPr="009C1913" w:rsidRDefault="00A52A9A" w:rsidP="00A86A0C">
                  <w:pPr>
                    <w:pStyle w:val="TableContents"/>
                    <w:jc w:val="both"/>
                    <w:rPr>
                      <w:sz w:val="20"/>
                      <w:szCs w:val="20"/>
                    </w:rPr>
                  </w:pPr>
                  <w:r w:rsidRPr="009C1913">
                    <w:rPr>
                      <w:sz w:val="20"/>
                      <w:szCs w:val="20"/>
                    </w:rPr>
                    <w:t>Работната група  одржа два состаноци на кои се презентираа драфт работна верзија на законот и  забелешките кои ги имаат дадено членовите.</w:t>
                  </w:r>
                </w:p>
                <w:p w14:paraId="3D466D37" w14:textId="77777777" w:rsidR="00A52A9A" w:rsidRPr="009C1913" w:rsidRDefault="00A52A9A" w:rsidP="00A86A0C">
                  <w:pPr>
                    <w:pStyle w:val="TableContents"/>
                    <w:jc w:val="both"/>
                    <w:rPr>
                      <w:sz w:val="20"/>
                      <w:szCs w:val="20"/>
                    </w:rPr>
                  </w:pPr>
                  <w:r w:rsidRPr="009C1913">
                    <w:rPr>
                      <w:sz w:val="20"/>
                      <w:szCs w:val="20"/>
                    </w:rPr>
                    <w:t>Понатаму, во консултација со  Секторот еднакви можности – МТСП се дадоа и  главни насоки и усогласување со конвенцијата 190 насловот на законот е: Закон за спречување и заштита од насилство и вознемирување.</w:t>
                  </w:r>
                </w:p>
                <w:p w14:paraId="51D89E63" w14:textId="77777777" w:rsidR="00A52A9A" w:rsidRPr="00142F34" w:rsidRDefault="00A52A9A" w:rsidP="00A86A0C">
                  <w:pPr>
                    <w:pStyle w:val="TableContents"/>
                    <w:jc w:val="both"/>
                    <w:rPr>
                      <w:sz w:val="20"/>
                      <w:szCs w:val="20"/>
                    </w:rPr>
                  </w:pPr>
                  <w:r w:rsidRPr="009C1913">
                    <w:rPr>
                      <w:sz w:val="20"/>
                      <w:szCs w:val="20"/>
                    </w:rPr>
                    <w:t xml:space="preserve">Согласно Заклучокот на Влада од 52-та седница, одржана на 14.06.2022 и разгледувана Информацијата за пристапување на Република  Северна Македонија  кон ратификување на Конвенцијата за елиминирање на насилство и вознемирување на полето на труд потребно е истата да  биде ратификувана од страна на  Собранието на Северна Македонија, за да  стане дел од </w:t>
                  </w:r>
                  <w:proofErr w:type="spellStart"/>
                  <w:r w:rsidRPr="009C1913">
                    <w:rPr>
                      <w:sz w:val="20"/>
                      <w:szCs w:val="20"/>
                    </w:rPr>
                    <w:t>од</w:t>
                  </w:r>
                  <w:proofErr w:type="spellEnd"/>
                  <w:r w:rsidRPr="009C1913">
                    <w:rPr>
                      <w:sz w:val="20"/>
                      <w:szCs w:val="20"/>
                    </w:rPr>
                    <w:t xml:space="preserve"> внатрешно правниот систем.</w:t>
                  </w:r>
                </w:p>
              </w:tc>
            </w:tr>
          </w:tbl>
          <w:p w14:paraId="2286AAA8" w14:textId="77777777" w:rsidR="00A52A9A" w:rsidRDefault="00A52A9A" w:rsidP="00A86A0C">
            <w:pPr>
              <w:pStyle w:val="TableContents"/>
              <w:jc w:val="both"/>
            </w:pPr>
          </w:p>
        </w:tc>
      </w:tr>
      <w:tr w:rsidR="00A52A9A" w14:paraId="218FFE54"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7615133D" w14:textId="77777777" w:rsidR="00A52A9A" w:rsidRDefault="00A52A9A" w:rsidP="00A86A0C">
            <w:pPr>
              <w:pStyle w:val="TableContents"/>
              <w:jc w:val="center"/>
            </w:pPr>
            <w:r>
              <w:rPr>
                <w:b/>
                <w:sz w:val="20"/>
              </w:rPr>
              <w:lastRenderedPageBreak/>
              <w:t>3.8 Овозможување на пристап до терапија и здравствени услуги на лица кои употребуваат дроги по издржување на казна затвор</w:t>
            </w:r>
          </w:p>
        </w:tc>
      </w:tr>
      <w:tr w:rsidR="00A52A9A" w14:paraId="5FDB08C9"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2C1C9709" w14:textId="77777777" w:rsidR="00A52A9A" w:rsidRDefault="00A52A9A" w:rsidP="00A86A0C">
            <w:pPr>
              <w:pStyle w:val="TableContents"/>
              <w:jc w:val="center"/>
            </w:pPr>
            <w:proofErr w:type="spellStart"/>
            <w:r>
              <w:rPr>
                <w:b/>
                <w:color w:val="000000"/>
                <w:sz w:val="20"/>
                <w:lang w:val="en-US"/>
              </w:rPr>
              <w:lastRenderedPageBreak/>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01.10.2021-30.09.2023</w:t>
            </w:r>
          </w:p>
        </w:tc>
      </w:tr>
      <w:tr w:rsidR="00A52A9A" w14:paraId="5F6423E6"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FFFFFF"/>
          </w:tcPr>
          <w:p w14:paraId="70ED0306"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DEEAF6"/>
          </w:tcPr>
          <w:p w14:paraId="4F99EE9F" w14:textId="77777777" w:rsidR="00A52A9A" w:rsidRPr="00142F34" w:rsidRDefault="00A52A9A" w:rsidP="00A86A0C">
            <w:pPr>
              <w:pStyle w:val="TableContents"/>
              <w:jc w:val="center"/>
              <w:rPr>
                <w:sz w:val="20"/>
                <w:szCs w:val="20"/>
              </w:rPr>
            </w:pPr>
            <w:r w:rsidRPr="00142F34">
              <w:rPr>
                <w:sz w:val="20"/>
                <w:szCs w:val="20"/>
              </w:rPr>
              <w:t>Министерство за здравство</w:t>
            </w:r>
          </w:p>
        </w:tc>
      </w:tr>
      <w:tr w:rsidR="00A52A9A" w14:paraId="376252BB" w14:textId="77777777" w:rsidTr="00A86A0C">
        <w:tblPrEx>
          <w:tblCellMar>
            <w:left w:w="115" w:type="dxa"/>
            <w:right w:w="115" w:type="dxa"/>
          </w:tblCellMar>
        </w:tblPrEx>
        <w:tc>
          <w:tcPr>
            <w:tcW w:w="4045" w:type="dxa"/>
            <w:gridSpan w:val="2"/>
            <w:vMerge w:val="restart"/>
            <w:tcBorders>
              <w:top w:val="single" w:sz="8" w:space="0" w:color="000001"/>
              <w:left w:val="single" w:sz="8" w:space="0" w:color="000001"/>
              <w:right w:val="single" w:sz="8" w:space="0" w:color="000001"/>
            </w:tcBorders>
            <w:shd w:val="clear" w:color="auto" w:fill="FFFFFF"/>
            <w:vAlign w:val="center"/>
          </w:tcPr>
          <w:p w14:paraId="1FC21C1A" w14:textId="77777777" w:rsidR="00A52A9A" w:rsidRDefault="00A52A9A" w:rsidP="00A86A0C">
            <w:pPr>
              <w:pStyle w:val="TableContents"/>
              <w:spacing w:after="0"/>
              <w:jc w:val="center"/>
            </w:pPr>
            <w:r>
              <w:rPr>
                <w:b/>
                <w:sz w:val="20"/>
              </w:rPr>
              <w:t>Статус на реализација на заложбата</w:t>
            </w:r>
          </w:p>
          <w:p w14:paraId="74BCDA59"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C117E6C" w14:textId="77777777" w:rsidR="00A52A9A" w:rsidRPr="00C631BF" w:rsidRDefault="00A52A9A" w:rsidP="00A86A0C">
            <w:pPr>
              <w:pStyle w:val="TableContents"/>
              <w:jc w:val="center"/>
              <w:rPr>
                <w:sz w:val="17"/>
                <w:szCs w:val="17"/>
              </w:rPr>
            </w:pPr>
            <w:proofErr w:type="spellStart"/>
            <w:r w:rsidRPr="00C631BF">
              <w:rPr>
                <w:b/>
                <w:color w:val="000000"/>
                <w:sz w:val="17"/>
                <w:szCs w:val="17"/>
              </w:rPr>
              <w:t>незапочнато</w:t>
            </w:r>
            <w:proofErr w:type="spellEnd"/>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62BB2E7" w14:textId="77777777" w:rsidR="00A52A9A" w:rsidRDefault="00A52A9A" w:rsidP="00A86A0C">
            <w:pPr>
              <w:pStyle w:val="TableContents"/>
              <w:jc w:val="center"/>
            </w:pPr>
            <w:r>
              <w:rPr>
                <w:b/>
                <w:color w:val="000000"/>
                <w:sz w:val="18"/>
              </w:rPr>
              <w:t>ограничено</w:t>
            </w: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57B0E34" w14:textId="77777777" w:rsidR="00A52A9A" w:rsidRDefault="00A52A9A" w:rsidP="00A86A0C">
            <w:pPr>
              <w:pStyle w:val="TableContents"/>
              <w:jc w:val="center"/>
            </w:pPr>
            <w:r>
              <w:rPr>
                <w:b/>
                <w:color w:val="000000"/>
                <w:sz w:val="18"/>
              </w:rPr>
              <w:t>значително</w:t>
            </w: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7CDCA2E6" w14:textId="77777777" w:rsidR="00A52A9A" w:rsidRDefault="00A52A9A" w:rsidP="00A86A0C">
            <w:pPr>
              <w:pStyle w:val="TableContents"/>
              <w:jc w:val="center"/>
            </w:pPr>
            <w:r>
              <w:rPr>
                <w:b/>
                <w:color w:val="000000"/>
                <w:sz w:val="18"/>
              </w:rPr>
              <w:t>завршено</w:t>
            </w:r>
          </w:p>
        </w:tc>
      </w:tr>
      <w:tr w:rsidR="00A52A9A" w14:paraId="48B26633" w14:textId="77777777" w:rsidTr="00A86A0C">
        <w:tblPrEx>
          <w:tblCellMar>
            <w:left w:w="115" w:type="dxa"/>
            <w:right w:w="115" w:type="dxa"/>
          </w:tblCellMar>
        </w:tblPrEx>
        <w:tc>
          <w:tcPr>
            <w:tcW w:w="4045" w:type="dxa"/>
            <w:gridSpan w:val="2"/>
            <w:vMerge/>
            <w:tcBorders>
              <w:top w:val="single" w:sz="8" w:space="0" w:color="000001"/>
              <w:left w:val="single" w:sz="8" w:space="0" w:color="000001"/>
              <w:right w:val="single" w:sz="8" w:space="0" w:color="000001"/>
            </w:tcBorders>
            <w:shd w:val="clear" w:color="auto" w:fill="FFFFFF"/>
            <w:vAlign w:val="center"/>
          </w:tcPr>
          <w:p w14:paraId="520CAF77"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0070C0"/>
            <w:vAlign w:val="center"/>
          </w:tcPr>
          <w:p w14:paraId="4BB458C6" w14:textId="77777777" w:rsidR="00A52A9A" w:rsidRDefault="00A52A9A" w:rsidP="00A86A0C">
            <w:pPr>
              <w:pStyle w:val="TableContents"/>
              <w:jc w:val="both"/>
            </w:pPr>
            <w:r w:rsidRPr="009518C2">
              <w:tab/>
            </w:r>
          </w:p>
        </w:tc>
        <w:tc>
          <w:tcPr>
            <w:tcW w:w="1365"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60BE7706" w14:textId="77777777" w:rsidR="00A52A9A" w:rsidRDefault="00A52A9A" w:rsidP="00A86A0C">
            <w:pPr>
              <w:pStyle w:val="TableContents"/>
              <w:jc w:val="both"/>
            </w:pPr>
          </w:p>
        </w:tc>
        <w:tc>
          <w:tcPr>
            <w:tcW w:w="137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5E90BE2" w14:textId="77777777" w:rsidR="00A52A9A" w:rsidRDefault="00A52A9A" w:rsidP="00A86A0C">
            <w:pPr>
              <w:pStyle w:val="TableContents"/>
              <w:jc w:val="both"/>
            </w:pPr>
          </w:p>
        </w:tc>
        <w:tc>
          <w:tcPr>
            <w:tcW w:w="119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8798364" w14:textId="77777777" w:rsidR="00A52A9A" w:rsidRDefault="00A52A9A" w:rsidP="00A86A0C">
            <w:pPr>
              <w:pStyle w:val="TableContents"/>
              <w:jc w:val="both"/>
            </w:pPr>
          </w:p>
        </w:tc>
      </w:tr>
      <w:tr w:rsidR="00A52A9A" w14:paraId="72AAD294"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BDD6EE"/>
          </w:tcPr>
          <w:p w14:paraId="7F078851" w14:textId="77777777" w:rsidR="00A52A9A" w:rsidRDefault="00A52A9A" w:rsidP="00A86A0C">
            <w:pPr>
              <w:pStyle w:val="TableContents"/>
              <w:jc w:val="center"/>
            </w:pPr>
            <w:r>
              <w:rPr>
                <w:b/>
                <w:sz w:val="20"/>
              </w:rPr>
              <w:t>Достигнувања</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BDD6EE"/>
          </w:tcPr>
          <w:p w14:paraId="5F058ACD"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02C592D3"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1E5D7E7D" w14:textId="77777777" w:rsidR="00A52A9A" w:rsidRDefault="00A52A9A" w:rsidP="00A86A0C">
            <w:pPr>
              <w:pStyle w:val="TableContents"/>
              <w:spacing w:after="0"/>
              <w:jc w:val="both"/>
            </w:pPr>
            <w:r>
              <w:rPr>
                <w:b/>
                <w:sz w:val="20"/>
              </w:rPr>
              <w:t>3.8.1 Зголемување на обемот на информации помеѓу медицинскиот персонал во насока на обезбедување на соодветен третман и услуги за лицата кои користат дроги, преку обука.</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03CA4BAB" w14:textId="77777777" w:rsidR="00A52A9A" w:rsidRPr="008B6467" w:rsidRDefault="00A52A9A" w:rsidP="00A86A0C">
            <w:pPr>
              <w:pStyle w:val="TableContents"/>
              <w:jc w:val="both"/>
              <w:rPr>
                <w:lang w:val="en-US"/>
              </w:rPr>
            </w:pPr>
          </w:p>
        </w:tc>
      </w:tr>
      <w:tr w:rsidR="00A52A9A" w14:paraId="4890A846"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709E68DD" w14:textId="77777777" w:rsidR="00A52A9A" w:rsidRDefault="00A52A9A" w:rsidP="00A86A0C">
            <w:pPr>
              <w:pStyle w:val="TableContents"/>
              <w:spacing w:after="0"/>
              <w:jc w:val="both"/>
            </w:pPr>
            <w:r>
              <w:rPr>
                <w:b/>
                <w:sz w:val="20"/>
              </w:rPr>
              <w:t>3.8.2 Воспоставување на постапка и пракса за соработка помеѓу вклучените институции во оваа активности и граѓанските организации во идентификување на проблемите со кои се соочуваат лицата кои користат дроги и креирање на соодветни решенија за нивно надминување (прва задача е воспоставување на Програма за олеснета и скратена постапка за вадење на документ за лична идентификација на луѓето кои употребуваат дроги кои не поседуваат важечки или не поседуваат никаков документ за идентификација додека се на издржување казна затвор)</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0829D9AE" w14:textId="77777777" w:rsidR="00A52A9A" w:rsidRDefault="00A52A9A" w:rsidP="00A86A0C">
            <w:pPr>
              <w:pStyle w:val="TableContents"/>
              <w:jc w:val="both"/>
            </w:pPr>
          </w:p>
        </w:tc>
      </w:tr>
      <w:tr w:rsidR="00A52A9A" w14:paraId="76C6682D" w14:textId="77777777" w:rsidTr="00A86A0C">
        <w:tc>
          <w:tcPr>
            <w:tcW w:w="4045" w:type="dxa"/>
            <w:gridSpan w:val="2"/>
            <w:tcBorders>
              <w:top w:val="single" w:sz="8" w:space="0" w:color="000001"/>
              <w:left w:val="single" w:sz="8" w:space="0" w:color="000001"/>
              <w:bottom w:val="single" w:sz="8" w:space="0" w:color="000001"/>
              <w:right w:val="single" w:sz="8" w:space="0" w:color="000001"/>
            </w:tcBorders>
            <w:shd w:val="clear" w:color="auto" w:fill="DEEAF6"/>
          </w:tcPr>
          <w:p w14:paraId="70946AE1" w14:textId="77777777" w:rsidR="00A52A9A" w:rsidRDefault="00A52A9A" w:rsidP="00A86A0C">
            <w:pPr>
              <w:pStyle w:val="TableContents"/>
              <w:spacing w:after="0"/>
              <w:jc w:val="both"/>
            </w:pPr>
            <w:r>
              <w:rPr>
                <w:b/>
                <w:sz w:val="20"/>
              </w:rPr>
              <w:t xml:space="preserve">3.8.3 Воспоставување отворен, транспарентен и јавен систем за </w:t>
            </w:r>
            <w:proofErr w:type="spellStart"/>
            <w:r>
              <w:rPr>
                <w:b/>
                <w:sz w:val="20"/>
              </w:rPr>
              <w:t>меѓусекторска</w:t>
            </w:r>
            <w:proofErr w:type="spellEnd"/>
            <w:r>
              <w:rPr>
                <w:b/>
                <w:sz w:val="20"/>
              </w:rPr>
              <w:t xml:space="preserve"> соработка помеѓу Дневните Центри за превенција и третман на злоупотреба и зависност од дроги, Управата за извршување на санкции, Фондот за здравствено осигурување на Република Северна Македонија, Министерство за внатрешни работи и граѓанските организации.</w:t>
            </w:r>
          </w:p>
        </w:tc>
        <w:tc>
          <w:tcPr>
            <w:tcW w:w="5300"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08D537B2" w14:textId="77777777" w:rsidR="00A52A9A" w:rsidRDefault="00A52A9A" w:rsidP="00A86A0C">
            <w:pPr>
              <w:pStyle w:val="TableContents"/>
              <w:jc w:val="both"/>
            </w:pPr>
          </w:p>
        </w:tc>
      </w:tr>
      <w:tr w:rsidR="00A52A9A" w14:paraId="3093A91E" w14:textId="77777777" w:rsidTr="00A86A0C">
        <w:tc>
          <w:tcPr>
            <w:tcW w:w="9345" w:type="dxa"/>
            <w:gridSpan w:val="8"/>
            <w:tcBorders>
              <w:top w:val="single" w:sz="8" w:space="0" w:color="000001"/>
              <w:left w:val="single" w:sz="8" w:space="0" w:color="000001"/>
              <w:bottom w:val="single" w:sz="8" w:space="0" w:color="000001"/>
              <w:right w:val="single" w:sz="8" w:space="0" w:color="000001"/>
            </w:tcBorders>
            <w:shd w:val="clear" w:color="auto" w:fill="1F4E79"/>
          </w:tcPr>
          <w:p w14:paraId="34976F40" w14:textId="77777777" w:rsidR="00A52A9A" w:rsidRDefault="00A52A9A" w:rsidP="00A86A0C">
            <w:pPr>
              <w:pStyle w:val="TableContents"/>
              <w:jc w:val="center"/>
            </w:pPr>
            <w:r>
              <w:rPr>
                <w:b/>
                <w:color w:val="FFFFFF"/>
                <w:sz w:val="22"/>
              </w:rPr>
              <w:lastRenderedPageBreak/>
              <w:t>Пристап до правда</w:t>
            </w:r>
          </w:p>
        </w:tc>
      </w:tr>
      <w:tr w:rsidR="00A52A9A" w14:paraId="3EC2954B"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2BCBA696" w14:textId="77777777" w:rsidR="00A52A9A" w:rsidRDefault="00A52A9A" w:rsidP="00A86A0C">
            <w:pPr>
              <w:pStyle w:val="TableContents"/>
              <w:jc w:val="center"/>
            </w:pPr>
            <w:r>
              <w:rPr>
                <w:b/>
                <w:sz w:val="20"/>
              </w:rPr>
              <w:t>4.1 Унапредување на заштитата на сексуалните работници и лицата кои употребуваат дроги</w:t>
            </w:r>
          </w:p>
        </w:tc>
      </w:tr>
      <w:tr w:rsidR="00A52A9A" w14:paraId="210DC9A4"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49E63F0E"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01.10.2021-31.08.2023</w:t>
            </w:r>
          </w:p>
        </w:tc>
      </w:tr>
      <w:tr w:rsidR="00A52A9A" w14:paraId="1C072FFA"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FFFFFF"/>
          </w:tcPr>
          <w:p w14:paraId="28FD4BFB"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DEEAF6"/>
          </w:tcPr>
          <w:p w14:paraId="1858A6E4" w14:textId="77777777" w:rsidR="00A52A9A" w:rsidRPr="00142F34" w:rsidRDefault="00A52A9A" w:rsidP="00A86A0C">
            <w:pPr>
              <w:pStyle w:val="TableContents"/>
              <w:jc w:val="center"/>
              <w:rPr>
                <w:sz w:val="20"/>
                <w:szCs w:val="20"/>
              </w:rPr>
            </w:pPr>
            <w:r w:rsidRPr="00142F34">
              <w:rPr>
                <w:sz w:val="20"/>
                <w:szCs w:val="20"/>
              </w:rPr>
              <w:t>Министерство за внатрешни работи</w:t>
            </w:r>
          </w:p>
        </w:tc>
      </w:tr>
      <w:tr w:rsidR="00A52A9A" w14:paraId="6032FB09" w14:textId="77777777" w:rsidTr="00A86A0C">
        <w:tblPrEx>
          <w:tblCellMar>
            <w:left w:w="115" w:type="dxa"/>
            <w:right w:w="115" w:type="dxa"/>
          </w:tblCellMar>
        </w:tblPrEx>
        <w:tc>
          <w:tcPr>
            <w:tcW w:w="4049" w:type="dxa"/>
            <w:gridSpan w:val="2"/>
            <w:vMerge w:val="restart"/>
            <w:tcBorders>
              <w:top w:val="single" w:sz="8" w:space="0" w:color="000001"/>
              <w:left w:val="single" w:sz="8" w:space="0" w:color="000001"/>
              <w:right w:val="single" w:sz="8" w:space="0" w:color="000001"/>
            </w:tcBorders>
            <w:shd w:val="clear" w:color="auto" w:fill="FFFFFF"/>
            <w:vAlign w:val="center"/>
          </w:tcPr>
          <w:p w14:paraId="5AC857AB" w14:textId="77777777" w:rsidR="00A52A9A" w:rsidRDefault="00A52A9A" w:rsidP="00A86A0C">
            <w:pPr>
              <w:pStyle w:val="TableContents"/>
              <w:spacing w:after="0"/>
              <w:jc w:val="center"/>
            </w:pPr>
            <w:r>
              <w:rPr>
                <w:b/>
                <w:sz w:val="20"/>
              </w:rPr>
              <w:t>Статус на реализација на заложбата</w:t>
            </w:r>
          </w:p>
          <w:p w14:paraId="52D830C2"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4AD3630F" w14:textId="77777777" w:rsidR="00A52A9A" w:rsidRPr="00C631BF" w:rsidRDefault="00A52A9A" w:rsidP="00A86A0C">
            <w:pPr>
              <w:pStyle w:val="TableContents"/>
              <w:jc w:val="center"/>
              <w:rPr>
                <w:sz w:val="17"/>
                <w:szCs w:val="17"/>
              </w:rPr>
            </w:pPr>
            <w:proofErr w:type="spellStart"/>
            <w:r w:rsidRPr="00C631BF">
              <w:rPr>
                <w:b/>
                <w:color w:val="000000"/>
                <w:sz w:val="17"/>
                <w:szCs w:val="17"/>
              </w:rPr>
              <w:t>незапочнато</w:t>
            </w:r>
            <w:proofErr w:type="spellEnd"/>
          </w:p>
        </w:tc>
        <w:tc>
          <w:tcPr>
            <w:tcW w:w="1363"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2A8C1576" w14:textId="77777777" w:rsidR="00A52A9A" w:rsidRDefault="00A52A9A" w:rsidP="00A86A0C">
            <w:pPr>
              <w:pStyle w:val="TableContents"/>
              <w:jc w:val="center"/>
            </w:pPr>
            <w:r>
              <w:rPr>
                <w:b/>
                <w:color w:val="000000"/>
                <w:sz w:val="18"/>
              </w:rPr>
              <w:t>ограничено</w:t>
            </w:r>
          </w:p>
        </w:tc>
        <w:tc>
          <w:tcPr>
            <w:tcW w:w="1377"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B200FA1" w14:textId="77777777" w:rsidR="00A52A9A" w:rsidRDefault="00A52A9A" w:rsidP="00A86A0C">
            <w:pPr>
              <w:pStyle w:val="TableContents"/>
              <w:jc w:val="center"/>
            </w:pPr>
            <w:r>
              <w:rPr>
                <w:b/>
                <w:color w:val="000000"/>
                <w:sz w:val="18"/>
              </w:rPr>
              <w:t>значително</w:t>
            </w:r>
          </w:p>
        </w:tc>
        <w:tc>
          <w:tcPr>
            <w:tcW w:w="119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7804836E" w14:textId="77777777" w:rsidR="00A52A9A" w:rsidRDefault="00A52A9A" w:rsidP="00A86A0C">
            <w:pPr>
              <w:pStyle w:val="TableContents"/>
              <w:jc w:val="center"/>
            </w:pPr>
            <w:r>
              <w:rPr>
                <w:b/>
                <w:color w:val="000000"/>
                <w:sz w:val="18"/>
              </w:rPr>
              <w:t>завршено</w:t>
            </w:r>
          </w:p>
        </w:tc>
      </w:tr>
      <w:tr w:rsidR="00A52A9A" w14:paraId="63C70268" w14:textId="77777777" w:rsidTr="00A86A0C">
        <w:tblPrEx>
          <w:tblCellMar>
            <w:left w:w="115" w:type="dxa"/>
            <w:right w:w="115" w:type="dxa"/>
          </w:tblCellMar>
        </w:tblPrEx>
        <w:tc>
          <w:tcPr>
            <w:tcW w:w="4049" w:type="dxa"/>
            <w:gridSpan w:val="2"/>
            <w:vMerge/>
            <w:tcBorders>
              <w:top w:val="single" w:sz="8" w:space="0" w:color="000001"/>
              <w:left w:val="single" w:sz="8" w:space="0" w:color="000001"/>
              <w:right w:val="single" w:sz="8" w:space="0" w:color="000001"/>
            </w:tcBorders>
            <w:shd w:val="clear" w:color="auto" w:fill="FFFFFF"/>
            <w:vAlign w:val="center"/>
          </w:tcPr>
          <w:p w14:paraId="1ED56DA6"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7CDC49ED" w14:textId="77777777" w:rsidR="00A52A9A" w:rsidRDefault="00A52A9A" w:rsidP="00A86A0C">
            <w:pPr>
              <w:pStyle w:val="TableContents"/>
              <w:jc w:val="both"/>
            </w:pPr>
          </w:p>
        </w:tc>
        <w:tc>
          <w:tcPr>
            <w:tcW w:w="1363"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2A0CF406" w14:textId="77777777" w:rsidR="00A52A9A" w:rsidRDefault="00A52A9A" w:rsidP="00A86A0C">
            <w:pPr>
              <w:pStyle w:val="TableContents"/>
              <w:jc w:val="both"/>
            </w:pPr>
          </w:p>
        </w:tc>
        <w:tc>
          <w:tcPr>
            <w:tcW w:w="1377" w:type="dxa"/>
            <w:tcBorders>
              <w:top w:val="single" w:sz="8" w:space="0" w:color="000001"/>
              <w:left w:val="single" w:sz="8" w:space="0" w:color="000001"/>
              <w:bottom w:val="single" w:sz="8" w:space="0" w:color="000001"/>
              <w:right w:val="single" w:sz="8" w:space="0" w:color="000001"/>
            </w:tcBorders>
            <w:shd w:val="clear" w:color="auto" w:fill="548DD4"/>
            <w:vAlign w:val="center"/>
          </w:tcPr>
          <w:p w14:paraId="4DFA4573" w14:textId="77777777" w:rsidR="00A52A9A" w:rsidRDefault="00A52A9A" w:rsidP="00A86A0C">
            <w:pPr>
              <w:pStyle w:val="TableContents"/>
              <w:jc w:val="both"/>
            </w:pPr>
          </w:p>
        </w:tc>
        <w:tc>
          <w:tcPr>
            <w:tcW w:w="119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15471A42" w14:textId="77777777" w:rsidR="00A52A9A" w:rsidRDefault="00A52A9A" w:rsidP="00A86A0C">
            <w:pPr>
              <w:pStyle w:val="TableContents"/>
              <w:jc w:val="both"/>
            </w:pPr>
          </w:p>
        </w:tc>
      </w:tr>
      <w:tr w:rsidR="00A52A9A" w14:paraId="4D0997CE"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BDD6EE"/>
          </w:tcPr>
          <w:p w14:paraId="64B444F8" w14:textId="77777777" w:rsidR="00A52A9A" w:rsidRDefault="00A52A9A" w:rsidP="00A86A0C">
            <w:pPr>
              <w:pStyle w:val="TableContents"/>
              <w:jc w:val="center"/>
            </w:pPr>
            <w:r>
              <w:rPr>
                <w:b/>
                <w:sz w:val="20"/>
              </w:rPr>
              <w:t>Достигнувања</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BDD6EE"/>
          </w:tcPr>
          <w:p w14:paraId="72C6BB3A"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4CFE4371"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04119DDF" w14:textId="77777777" w:rsidR="00A52A9A" w:rsidRDefault="00A52A9A" w:rsidP="00A86A0C">
            <w:pPr>
              <w:pStyle w:val="TableContents"/>
              <w:spacing w:after="0"/>
              <w:jc w:val="both"/>
            </w:pPr>
            <w:r>
              <w:rPr>
                <w:b/>
                <w:sz w:val="20"/>
              </w:rPr>
              <w:t>4.1.1 Зголемување на обемот на информации помеѓу полициските службеници во насока на постапување со лица кои употребуваат дроги и сексуални работници преку организирање на обуки за сензибилизација на полициски службеници</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32E213EF" w14:textId="77777777" w:rsidR="00A52A9A" w:rsidRPr="009C1913" w:rsidRDefault="00A52A9A" w:rsidP="00A86A0C">
            <w:pPr>
              <w:pStyle w:val="TableContents"/>
              <w:jc w:val="both"/>
              <w:rPr>
                <w:sz w:val="20"/>
                <w:szCs w:val="20"/>
              </w:rPr>
            </w:pPr>
            <w:r w:rsidRPr="009C1913">
              <w:rPr>
                <w:sz w:val="20"/>
                <w:szCs w:val="20"/>
              </w:rPr>
              <w:t>1.1 Во однос на прикажување на сензибилизација на полициските службеници при постапувањето со ранливите категории на лица вклучувајќи ги и сексуални работници и лица кои употребуваат дроги,  заклучно со јуни 2022г. обучени се 680 полициски службеници. Едукативните активности од аспект  на сензибилизација се опфатени во содржината на шесте обуки:</w:t>
            </w:r>
          </w:p>
          <w:p w14:paraId="262379D7" w14:textId="77777777" w:rsidR="00A52A9A" w:rsidRPr="009C1913" w:rsidRDefault="00A52A9A" w:rsidP="00A86A0C">
            <w:pPr>
              <w:pStyle w:val="TableContents"/>
              <w:jc w:val="both"/>
              <w:rPr>
                <w:sz w:val="20"/>
                <w:szCs w:val="20"/>
              </w:rPr>
            </w:pPr>
            <w:r w:rsidRPr="009C1913">
              <w:rPr>
                <w:sz w:val="20"/>
                <w:szCs w:val="20"/>
              </w:rPr>
              <w:t>“Примена на Етички кодекс за однесување на работниците во МВР„(https://mvr.gov.mk)„ “Современи предизвици за полициски интегритет„ “Соработка меѓу граѓанските органи</w:t>
            </w:r>
            <w:r>
              <w:rPr>
                <w:sz w:val="20"/>
                <w:szCs w:val="20"/>
              </w:rPr>
              <w:t>за</w:t>
            </w:r>
            <w:r w:rsidRPr="009C1913">
              <w:rPr>
                <w:sz w:val="20"/>
                <w:szCs w:val="20"/>
              </w:rPr>
              <w:t>ции и институции во решавање на случаи на родово-базирано семејно насилство„</w:t>
            </w:r>
            <w:r>
              <w:rPr>
                <w:sz w:val="20"/>
                <w:szCs w:val="20"/>
              </w:rPr>
              <w:t xml:space="preserve"> </w:t>
            </w:r>
            <w:r w:rsidRPr="009C1913">
              <w:rPr>
                <w:sz w:val="20"/>
                <w:szCs w:val="20"/>
              </w:rPr>
              <w:t>“Обезбедување на родово сензибилни услуги за поддршка на лицата кои претрпеле насилство„ “Превентивно полициско работење, почитување на основните човекови права при полициско постапување„  “Стручно усовршување на полициските службеници за нивно професионално и законско постапување при лишување од слобода, приведување и употреба на средства за присилба„ “Идентификација на деца жртви на  сексуална експл</w:t>
            </w:r>
            <w:r>
              <w:rPr>
                <w:sz w:val="20"/>
                <w:szCs w:val="20"/>
              </w:rPr>
              <w:t>о</w:t>
            </w:r>
            <w:r w:rsidRPr="009C1913">
              <w:rPr>
                <w:sz w:val="20"/>
                <w:szCs w:val="20"/>
              </w:rPr>
              <w:t>атација” и “</w:t>
            </w:r>
            <w:proofErr w:type="spellStart"/>
            <w:r w:rsidRPr="009C1913">
              <w:rPr>
                <w:sz w:val="20"/>
                <w:szCs w:val="20"/>
              </w:rPr>
              <w:t>Мултипрофесионална</w:t>
            </w:r>
            <w:proofErr w:type="spellEnd"/>
            <w:r w:rsidRPr="009C1913">
              <w:rPr>
                <w:sz w:val="20"/>
                <w:szCs w:val="20"/>
              </w:rPr>
              <w:t xml:space="preserve"> превенција на родово насилство.„</w:t>
            </w:r>
          </w:p>
          <w:p w14:paraId="3A05E18E" w14:textId="77777777" w:rsidR="00A52A9A" w:rsidRPr="009C1913" w:rsidRDefault="00A52A9A" w:rsidP="00A86A0C">
            <w:pPr>
              <w:pStyle w:val="TableContents"/>
              <w:jc w:val="both"/>
              <w:rPr>
                <w:sz w:val="20"/>
                <w:szCs w:val="20"/>
              </w:rPr>
            </w:pPr>
            <w:r w:rsidRPr="009C1913">
              <w:rPr>
                <w:sz w:val="20"/>
                <w:szCs w:val="20"/>
              </w:rPr>
              <w:t xml:space="preserve">1.2 Полициските службеници работните задачи ги извршуваат на високо професионално ниво, кое </w:t>
            </w:r>
            <w:r w:rsidRPr="009C1913">
              <w:rPr>
                <w:sz w:val="20"/>
                <w:szCs w:val="20"/>
              </w:rPr>
              <w:lastRenderedPageBreak/>
              <w:t>континуирано го надоградуваат со едукативни активности и на тој начин постојано се зголемува процентот на обученост.</w:t>
            </w:r>
          </w:p>
          <w:p w14:paraId="0EAAE41F" w14:textId="77777777" w:rsidR="00A52A9A" w:rsidRPr="009C1913" w:rsidRDefault="00A52A9A" w:rsidP="00A86A0C">
            <w:pPr>
              <w:pStyle w:val="TableContents"/>
              <w:jc w:val="both"/>
              <w:rPr>
                <w:sz w:val="20"/>
                <w:szCs w:val="20"/>
              </w:rPr>
            </w:pPr>
            <w:r w:rsidRPr="009C1913">
              <w:rPr>
                <w:sz w:val="20"/>
                <w:szCs w:val="20"/>
              </w:rPr>
              <w:t>1.3 Полициските службеници знаењето го применуваат преку објективен, непристрасен и еднаков третман кон сите граѓани (вклучувајќи ги и сексуални работници и лица кои употребуваат дроги). Притоа, согласно подзаконскиот акт подобрување на ефектот од работењето непосредниот раководител постојано го следи работниот процес, професионалната етика, како и примената на стекнатото знаење од спроведена обука на полициските службеници. Меѓутоа примената на зна</w:t>
            </w:r>
            <w:r>
              <w:rPr>
                <w:sz w:val="20"/>
                <w:szCs w:val="20"/>
              </w:rPr>
              <w:t>е</w:t>
            </w:r>
            <w:r w:rsidRPr="009C1913">
              <w:rPr>
                <w:sz w:val="20"/>
                <w:szCs w:val="20"/>
              </w:rPr>
              <w:t>њето се проценува и од задоволството на физичките и правни лица во однос на остварување на правата.</w:t>
            </w:r>
          </w:p>
        </w:tc>
      </w:tr>
      <w:tr w:rsidR="00A52A9A" w14:paraId="3CBF6581"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516E1925" w14:textId="77777777" w:rsidR="00A52A9A" w:rsidRDefault="00A52A9A" w:rsidP="00A86A0C">
            <w:pPr>
              <w:pStyle w:val="TableContents"/>
              <w:spacing w:after="0"/>
              <w:jc w:val="both"/>
            </w:pPr>
            <w:r>
              <w:rPr>
                <w:b/>
                <w:sz w:val="20"/>
              </w:rPr>
              <w:lastRenderedPageBreak/>
              <w:t xml:space="preserve">4.1.2 Зголемување на обемот на информации помеѓу вработени лица во затворите во насока на постапување со лица кои употребуваат дроги и сексуални работници преку организирање на обуки за сензибилизација на вработени лица во затворите </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07C78B25" w14:textId="77777777" w:rsidR="00A52A9A" w:rsidRPr="009C1913" w:rsidRDefault="00A52A9A" w:rsidP="00A86A0C">
            <w:pPr>
              <w:pStyle w:val="TableContents"/>
              <w:jc w:val="both"/>
              <w:rPr>
                <w:sz w:val="20"/>
                <w:szCs w:val="20"/>
              </w:rPr>
            </w:pPr>
            <w:r w:rsidRPr="009C1913">
              <w:rPr>
                <w:sz w:val="20"/>
                <w:szCs w:val="20"/>
              </w:rPr>
              <w:t>2.1 Во однос на зголемување на информираноста на затворските полицајци при постапувањето со сексуалн</w:t>
            </w:r>
            <w:r>
              <w:rPr>
                <w:sz w:val="20"/>
                <w:szCs w:val="20"/>
              </w:rPr>
              <w:t>и</w:t>
            </w:r>
            <w:r w:rsidRPr="009C1913">
              <w:rPr>
                <w:sz w:val="20"/>
                <w:szCs w:val="20"/>
              </w:rPr>
              <w:t>те работници и лица кои употребуваат дроги, заклучно со јуни 2022г. обучени се 55 лица. Едукативните активности за сензибилизација произлегуваат од содржината на двете основни обуки со кои нововработените се запознав</w:t>
            </w:r>
            <w:r>
              <w:rPr>
                <w:sz w:val="20"/>
                <w:szCs w:val="20"/>
              </w:rPr>
              <w:t>а</w:t>
            </w:r>
            <w:r w:rsidRPr="009C1913">
              <w:rPr>
                <w:sz w:val="20"/>
                <w:szCs w:val="20"/>
              </w:rPr>
              <w:t>ат со природата на работата во установите; со Кодексот за однесување на затворскиот персонал во КПУ /БПУ (https://www.pravda.gov.mk) и согласно интерните акти на институцијата, како и Обуката за правда на децата (</w:t>
            </w:r>
            <w:r w:rsidRPr="009C1913">
              <w:rPr>
                <w:rStyle w:val="Emphasis"/>
                <w:sz w:val="20"/>
                <w:szCs w:val="20"/>
              </w:rPr>
              <w:t>малолетни лица  кои се на издржување мерка притвор)</w:t>
            </w:r>
          </w:p>
          <w:p w14:paraId="0D31B0BC" w14:textId="77777777" w:rsidR="00A52A9A" w:rsidRPr="009C1913" w:rsidRDefault="00A52A9A" w:rsidP="00A86A0C">
            <w:pPr>
              <w:pStyle w:val="TableContents"/>
              <w:jc w:val="both"/>
              <w:rPr>
                <w:sz w:val="20"/>
                <w:szCs w:val="20"/>
              </w:rPr>
            </w:pPr>
            <w:r w:rsidRPr="009C1913">
              <w:rPr>
                <w:sz w:val="20"/>
                <w:szCs w:val="20"/>
              </w:rPr>
              <w:t>2.2 Затворските полицајци работните задачи ги извршуваат на високо професионално ниво, кое континуирано го надоградуваат со едукативни активности.</w:t>
            </w:r>
          </w:p>
          <w:p w14:paraId="4655C8CE" w14:textId="77777777" w:rsidR="00A52A9A" w:rsidRPr="009C1913" w:rsidRDefault="00A52A9A" w:rsidP="00A86A0C">
            <w:pPr>
              <w:pStyle w:val="TableContents"/>
              <w:jc w:val="both"/>
              <w:rPr>
                <w:sz w:val="20"/>
                <w:szCs w:val="20"/>
              </w:rPr>
            </w:pPr>
            <w:r w:rsidRPr="009C1913">
              <w:rPr>
                <w:sz w:val="20"/>
                <w:szCs w:val="20"/>
              </w:rPr>
              <w:t>2.3 Затворските полицајци с</w:t>
            </w:r>
            <w:r>
              <w:rPr>
                <w:sz w:val="20"/>
                <w:szCs w:val="20"/>
              </w:rPr>
              <w:t>т</w:t>
            </w:r>
            <w:r w:rsidRPr="009C1913">
              <w:rPr>
                <w:sz w:val="20"/>
                <w:szCs w:val="20"/>
              </w:rPr>
              <w:t>екнатото знаење го пренесуваат преку објективен, непристрасен и еднаков третман кон сите ранливи категории на затвореници (вклучувајќи ги и сексуални работници и лица кои употребуваат дроги). Притоа, примената на зн</w:t>
            </w:r>
            <w:r>
              <w:rPr>
                <w:sz w:val="20"/>
                <w:szCs w:val="20"/>
              </w:rPr>
              <w:t>а</w:t>
            </w:r>
            <w:r w:rsidRPr="009C1913">
              <w:rPr>
                <w:sz w:val="20"/>
                <w:szCs w:val="20"/>
              </w:rPr>
              <w:t xml:space="preserve">ењето во текот на работењето постојано се надгледува од раководно лице, но истовремено </w:t>
            </w:r>
            <w:r w:rsidRPr="009C1913">
              <w:rPr>
                <w:sz w:val="20"/>
                <w:szCs w:val="20"/>
              </w:rPr>
              <w:lastRenderedPageBreak/>
              <w:t>стекнатото зна</w:t>
            </w:r>
            <w:r>
              <w:rPr>
                <w:sz w:val="20"/>
                <w:szCs w:val="20"/>
              </w:rPr>
              <w:t>е</w:t>
            </w:r>
            <w:r w:rsidRPr="009C1913">
              <w:rPr>
                <w:sz w:val="20"/>
                <w:szCs w:val="20"/>
              </w:rPr>
              <w:t>ње се проценува и затворените лица во однос на остварување на правата и погодностите.</w:t>
            </w:r>
          </w:p>
          <w:p w14:paraId="64055CA1" w14:textId="77777777" w:rsidR="00A52A9A" w:rsidRPr="009C1913" w:rsidRDefault="00A52A9A" w:rsidP="00A86A0C">
            <w:pPr>
              <w:pStyle w:val="TableContents"/>
              <w:jc w:val="both"/>
              <w:rPr>
                <w:sz w:val="20"/>
                <w:szCs w:val="20"/>
              </w:rPr>
            </w:pPr>
            <w:r w:rsidRPr="009C1913">
              <w:rPr>
                <w:sz w:val="20"/>
                <w:szCs w:val="20"/>
              </w:rPr>
              <w:t>2.4 Вкупниот број нововработени лица со соодветно образование во сите казнено поправни установи изнесува(заклучно со јуни 2022 г.) 96 вработени лица.</w:t>
            </w:r>
          </w:p>
        </w:tc>
      </w:tr>
      <w:tr w:rsidR="00A52A9A" w14:paraId="46596438"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15A5D79D" w14:textId="77777777" w:rsidR="00A52A9A" w:rsidRDefault="00A52A9A" w:rsidP="00A86A0C">
            <w:pPr>
              <w:pStyle w:val="TableContents"/>
              <w:spacing w:after="0"/>
              <w:jc w:val="both"/>
            </w:pPr>
            <w:r>
              <w:rPr>
                <w:b/>
                <w:sz w:val="20"/>
              </w:rPr>
              <w:lastRenderedPageBreak/>
              <w:t>4.1.3 Пристап до информации на адвокати и обвинети преку кои полесно ќе се докажува прекршување на човекови права преку воведување на задолжителен аудио и видео запис во по една полициска станица во секој град на територијата на РСМ за време на распит, а првенствено во Скопје, Гостивар, Струмица, Охрид и Гевгелија.</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164D5C08" w14:textId="77777777" w:rsidR="00A52A9A" w:rsidRPr="009C1913" w:rsidRDefault="00A52A9A" w:rsidP="00A86A0C">
            <w:pPr>
              <w:pStyle w:val="TableContents"/>
              <w:jc w:val="both"/>
              <w:rPr>
                <w:sz w:val="20"/>
                <w:szCs w:val="20"/>
              </w:rPr>
            </w:pPr>
            <w:r w:rsidRPr="009C1913">
              <w:rPr>
                <w:sz w:val="20"/>
                <w:szCs w:val="20"/>
              </w:rPr>
              <w:t>3.1 Во однос на пристапот до информации од одржан распит во пол</w:t>
            </w:r>
            <w:r>
              <w:rPr>
                <w:sz w:val="20"/>
                <w:szCs w:val="20"/>
              </w:rPr>
              <w:t>и</w:t>
            </w:r>
            <w:r w:rsidRPr="009C1913">
              <w:rPr>
                <w:sz w:val="20"/>
                <w:szCs w:val="20"/>
              </w:rPr>
              <w:t>циски станици, на подрачјето во Скопје има 11 простории за сослушување на странки опремени со видео запис, од кои во функција се ставени девет простории.</w:t>
            </w:r>
          </w:p>
          <w:p w14:paraId="30D06903" w14:textId="77777777" w:rsidR="00A52A9A" w:rsidRPr="009C1913" w:rsidRDefault="00A52A9A" w:rsidP="00A86A0C">
            <w:pPr>
              <w:pStyle w:val="TableContents"/>
              <w:jc w:val="both"/>
              <w:rPr>
                <w:sz w:val="20"/>
                <w:szCs w:val="20"/>
              </w:rPr>
            </w:pPr>
            <w:r w:rsidRPr="009C1913">
              <w:rPr>
                <w:sz w:val="20"/>
                <w:szCs w:val="20"/>
              </w:rPr>
              <w:t>Исто така  под  видео запис се  просториите за распит во  Полициските станици,  Гостивар, Тетово, Прилеп, Кичево, Штип,</w:t>
            </w:r>
            <w:r>
              <w:rPr>
                <w:sz w:val="20"/>
                <w:szCs w:val="20"/>
              </w:rPr>
              <w:t xml:space="preserve"> </w:t>
            </w:r>
            <w:r w:rsidRPr="009C1913">
              <w:rPr>
                <w:sz w:val="20"/>
                <w:szCs w:val="20"/>
              </w:rPr>
              <w:t>Радовиш и Берово.</w:t>
            </w:r>
          </w:p>
        </w:tc>
      </w:tr>
      <w:tr w:rsidR="00A52A9A" w14:paraId="6D6804BF"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6E6680CC" w14:textId="77777777" w:rsidR="00A52A9A" w:rsidRDefault="00A52A9A" w:rsidP="00A86A0C">
            <w:pPr>
              <w:pStyle w:val="TableContents"/>
              <w:jc w:val="center"/>
            </w:pPr>
            <w:r>
              <w:rPr>
                <w:b/>
                <w:sz w:val="20"/>
              </w:rPr>
              <w:t>4.2 Унапредување на пристап до правда на социјално загрозени и граѓани во социјален ризик</w:t>
            </w:r>
          </w:p>
        </w:tc>
      </w:tr>
      <w:tr w:rsidR="00A52A9A" w14:paraId="53FCDF4B"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4A8B104B"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01.10.2021-31.08.2023</w:t>
            </w:r>
          </w:p>
        </w:tc>
      </w:tr>
      <w:tr w:rsidR="00A52A9A" w14:paraId="36C859F1"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FFFFFF"/>
          </w:tcPr>
          <w:p w14:paraId="270F161E"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DEEAF6"/>
          </w:tcPr>
          <w:p w14:paraId="08D03686" w14:textId="77777777" w:rsidR="00A52A9A" w:rsidRPr="00142F34" w:rsidRDefault="00A52A9A" w:rsidP="00A86A0C">
            <w:pPr>
              <w:pStyle w:val="TableContents"/>
              <w:jc w:val="center"/>
              <w:rPr>
                <w:sz w:val="20"/>
                <w:szCs w:val="20"/>
              </w:rPr>
            </w:pPr>
            <w:r w:rsidRPr="00142F34">
              <w:rPr>
                <w:sz w:val="20"/>
                <w:szCs w:val="20"/>
              </w:rPr>
              <w:t>Министерство за труд и социјална политика</w:t>
            </w:r>
          </w:p>
        </w:tc>
      </w:tr>
      <w:tr w:rsidR="00A52A9A" w14:paraId="60EBCC38" w14:textId="77777777" w:rsidTr="00A86A0C">
        <w:tblPrEx>
          <w:tblCellMar>
            <w:left w:w="115" w:type="dxa"/>
            <w:right w:w="115" w:type="dxa"/>
          </w:tblCellMar>
        </w:tblPrEx>
        <w:tc>
          <w:tcPr>
            <w:tcW w:w="4049" w:type="dxa"/>
            <w:gridSpan w:val="2"/>
            <w:vMerge w:val="restart"/>
            <w:tcBorders>
              <w:top w:val="single" w:sz="8" w:space="0" w:color="000001"/>
              <w:left w:val="single" w:sz="8" w:space="0" w:color="000001"/>
              <w:right w:val="single" w:sz="8" w:space="0" w:color="000001"/>
            </w:tcBorders>
            <w:shd w:val="clear" w:color="auto" w:fill="FFFFFF"/>
            <w:vAlign w:val="center"/>
          </w:tcPr>
          <w:p w14:paraId="3F2F5349" w14:textId="77777777" w:rsidR="00A52A9A" w:rsidRDefault="00A52A9A" w:rsidP="00A86A0C">
            <w:pPr>
              <w:pStyle w:val="TableContents"/>
              <w:spacing w:after="0"/>
              <w:jc w:val="center"/>
            </w:pPr>
            <w:r>
              <w:rPr>
                <w:b/>
                <w:sz w:val="20"/>
              </w:rPr>
              <w:t>Статус на реализација на заложбата</w:t>
            </w:r>
          </w:p>
          <w:p w14:paraId="159ADE1B"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71476954" w14:textId="77777777" w:rsidR="00A52A9A" w:rsidRPr="00C631BF" w:rsidRDefault="00A52A9A" w:rsidP="00A86A0C">
            <w:pPr>
              <w:pStyle w:val="TableContents"/>
              <w:jc w:val="center"/>
              <w:rPr>
                <w:sz w:val="17"/>
                <w:szCs w:val="17"/>
              </w:rPr>
            </w:pPr>
            <w:proofErr w:type="spellStart"/>
            <w:r w:rsidRPr="00C631BF">
              <w:rPr>
                <w:b/>
                <w:color w:val="000000"/>
                <w:sz w:val="17"/>
                <w:szCs w:val="17"/>
              </w:rPr>
              <w:t>незапочнато</w:t>
            </w:r>
            <w:proofErr w:type="spellEnd"/>
          </w:p>
        </w:tc>
        <w:tc>
          <w:tcPr>
            <w:tcW w:w="1363"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5BA0AC35" w14:textId="77777777" w:rsidR="00A52A9A" w:rsidRDefault="00A52A9A" w:rsidP="00A86A0C">
            <w:pPr>
              <w:pStyle w:val="TableContents"/>
              <w:jc w:val="center"/>
            </w:pPr>
            <w:r>
              <w:rPr>
                <w:b/>
                <w:color w:val="000000"/>
                <w:sz w:val="18"/>
              </w:rPr>
              <w:t>ограничено</w:t>
            </w:r>
          </w:p>
        </w:tc>
        <w:tc>
          <w:tcPr>
            <w:tcW w:w="1377"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3DFB4E49" w14:textId="77777777" w:rsidR="00A52A9A" w:rsidRDefault="00A52A9A" w:rsidP="00A86A0C">
            <w:pPr>
              <w:pStyle w:val="TableContents"/>
              <w:jc w:val="center"/>
            </w:pPr>
            <w:r>
              <w:rPr>
                <w:b/>
                <w:color w:val="000000"/>
                <w:sz w:val="18"/>
              </w:rPr>
              <w:t>значително</w:t>
            </w:r>
          </w:p>
        </w:tc>
        <w:tc>
          <w:tcPr>
            <w:tcW w:w="119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6CF728F9" w14:textId="77777777" w:rsidR="00A52A9A" w:rsidRDefault="00A52A9A" w:rsidP="00A86A0C">
            <w:pPr>
              <w:pStyle w:val="TableContents"/>
              <w:jc w:val="center"/>
            </w:pPr>
            <w:r>
              <w:rPr>
                <w:b/>
                <w:color w:val="000000"/>
                <w:sz w:val="18"/>
              </w:rPr>
              <w:t>завршено</w:t>
            </w:r>
          </w:p>
        </w:tc>
      </w:tr>
      <w:tr w:rsidR="00A52A9A" w14:paraId="65E993E8" w14:textId="77777777" w:rsidTr="00A86A0C">
        <w:tblPrEx>
          <w:tblCellMar>
            <w:left w:w="115" w:type="dxa"/>
            <w:right w:w="115" w:type="dxa"/>
          </w:tblCellMar>
        </w:tblPrEx>
        <w:tc>
          <w:tcPr>
            <w:tcW w:w="4049" w:type="dxa"/>
            <w:gridSpan w:val="2"/>
            <w:vMerge/>
            <w:tcBorders>
              <w:top w:val="single" w:sz="8" w:space="0" w:color="000001"/>
              <w:left w:val="single" w:sz="8" w:space="0" w:color="000001"/>
              <w:right w:val="single" w:sz="8" w:space="0" w:color="000001"/>
            </w:tcBorders>
            <w:shd w:val="clear" w:color="auto" w:fill="FFFFFF"/>
            <w:vAlign w:val="center"/>
          </w:tcPr>
          <w:p w14:paraId="5106729C"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7F67A495" w14:textId="77777777" w:rsidR="00A52A9A" w:rsidRDefault="00A52A9A" w:rsidP="00A86A0C">
            <w:pPr>
              <w:pStyle w:val="TableContents"/>
              <w:jc w:val="both"/>
            </w:pPr>
          </w:p>
        </w:tc>
        <w:tc>
          <w:tcPr>
            <w:tcW w:w="1363"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4621E722" w14:textId="77777777" w:rsidR="00A52A9A" w:rsidRDefault="00A52A9A" w:rsidP="00A86A0C">
            <w:pPr>
              <w:pStyle w:val="TableContents"/>
              <w:jc w:val="both"/>
            </w:pPr>
          </w:p>
        </w:tc>
        <w:tc>
          <w:tcPr>
            <w:tcW w:w="1377"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1DACD8B3" w14:textId="77777777" w:rsidR="00A52A9A" w:rsidRDefault="00A52A9A" w:rsidP="00A86A0C">
            <w:pPr>
              <w:pStyle w:val="TableContents"/>
              <w:jc w:val="both"/>
            </w:pPr>
          </w:p>
        </w:tc>
        <w:tc>
          <w:tcPr>
            <w:tcW w:w="119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B01FA3C" w14:textId="77777777" w:rsidR="00A52A9A" w:rsidRDefault="00A52A9A" w:rsidP="00A86A0C">
            <w:pPr>
              <w:pStyle w:val="TableContents"/>
              <w:jc w:val="both"/>
            </w:pPr>
          </w:p>
        </w:tc>
      </w:tr>
      <w:tr w:rsidR="00A52A9A" w14:paraId="192B08FC"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BDD6EE"/>
          </w:tcPr>
          <w:p w14:paraId="4CDC0964" w14:textId="77777777" w:rsidR="00A52A9A" w:rsidRDefault="00A52A9A" w:rsidP="00A86A0C">
            <w:pPr>
              <w:pStyle w:val="TableContents"/>
              <w:jc w:val="center"/>
            </w:pPr>
            <w:r>
              <w:rPr>
                <w:b/>
                <w:sz w:val="20"/>
              </w:rPr>
              <w:t>Достигнувања</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BDD6EE"/>
          </w:tcPr>
          <w:p w14:paraId="30612090"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11A65C60"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230468C4" w14:textId="77777777" w:rsidR="00A52A9A" w:rsidRDefault="00A52A9A" w:rsidP="00A86A0C">
            <w:pPr>
              <w:pStyle w:val="TableContents"/>
              <w:spacing w:after="0"/>
              <w:jc w:val="both"/>
            </w:pPr>
            <w:r>
              <w:rPr>
                <w:b/>
                <w:sz w:val="20"/>
              </w:rPr>
              <w:t xml:space="preserve">4.2.1 Изготвување интерно циркуларно упатство за користење на законска можност од член 269 став 1 од Закон за социјална заштита за прибавување податоци за материјална финансиска и имотна состојба на членовите на семејство/домаќинството </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7B33EA09" w14:textId="77777777" w:rsidR="00A52A9A" w:rsidRDefault="00A52A9A" w:rsidP="00A86A0C">
            <w:pPr>
              <w:pStyle w:val="TableContents"/>
              <w:jc w:val="both"/>
            </w:pPr>
          </w:p>
        </w:tc>
      </w:tr>
      <w:tr w:rsidR="00A52A9A" w14:paraId="4C78B949"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36328127" w14:textId="77777777" w:rsidR="00A52A9A" w:rsidRDefault="00A52A9A" w:rsidP="00A86A0C">
            <w:pPr>
              <w:pStyle w:val="TableContents"/>
              <w:spacing w:after="0"/>
              <w:jc w:val="both"/>
            </w:pPr>
            <w:r>
              <w:rPr>
                <w:b/>
                <w:sz w:val="20"/>
              </w:rPr>
              <w:t>4.2.2 Зајакнати капацитети на ЦСР за користење на законска можност од член 298 од Закон за социјална заштита</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4A918A70" w14:textId="77777777" w:rsidR="00A52A9A" w:rsidRDefault="00A52A9A" w:rsidP="00A86A0C">
            <w:pPr>
              <w:pStyle w:val="TableContents"/>
              <w:jc w:val="both"/>
            </w:pPr>
          </w:p>
        </w:tc>
      </w:tr>
      <w:tr w:rsidR="00A52A9A" w14:paraId="0EA08BD3"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4E69141D" w14:textId="77777777" w:rsidR="00A52A9A" w:rsidRDefault="00A52A9A" w:rsidP="00A86A0C">
            <w:pPr>
              <w:pStyle w:val="TableContents"/>
              <w:spacing w:after="0"/>
              <w:jc w:val="both"/>
            </w:pPr>
            <w:r>
              <w:rPr>
                <w:b/>
                <w:sz w:val="20"/>
              </w:rPr>
              <w:t xml:space="preserve">4.2.3 Изготвување на прирачник врз основа на активност бр. 2 со содржани теркови за иницијални поднесоци и </w:t>
            </w:r>
            <w:r>
              <w:rPr>
                <w:b/>
                <w:sz w:val="20"/>
              </w:rPr>
              <w:lastRenderedPageBreak/>
              <w:t>други насоки за текот на судска постапка од интерес на ЦСР и споделен со ЦСР</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30357A46" w14:textId="77777777" w:rsidR="00A52A9A" w:rsidRDefault="00A52A9A" w:rsidP="00A86A0C">
            <w:pPr>
              <w:pStyle w:val="TableContents"/>
              <w:jc w:val="both"/>
            </w:pPr>
          </w:p>
        </w:tc>
      </w:tr>
      <w:tr w:rsidR="00A52A9A" w14:paraId="53465242"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4020E090" w14:textId="77777777" w:rsidR="00A52A9A" w:rsidRDefault="00A52A9A" w:rsidP="00A86A0C">
            <w:pPr>
              <w:pStyle w:val="TableContents"/>
              <w:spacing w:after="0"/>
              <w:jc w:val="both"/>
            </w:pPr>
            <w:r>
              <w:rPr>
                <w:b/>
                <w:sz w:val="20"/>
              </w:rPr>
              <w:t>4.2.4 Креирање на дата база од страна ГО за прекршени права со блокирање на Социјалниот број</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4853D605" w14:textId="77777777" w:rsidR="00A52A9A" w:rsidRDefault="00A52A9A" w:rsidP="00A86A0C">
            <w:pPr>
              <w:pStyle w:val="TableContents"/>
              <w:jc w:val="both"/>
            </w:pPr>
          </w:p>
        </w:tc>
      </w:tr>
      <w:tr w:rsidR="00A52A9A" w14:paraId="1D09A349"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4BCEA304" w14:textId="77777777" w:rsidR="00A52A9A" w:rsidRDefault="00A52A9A" w:rsidP="00A86A0C">
            <w:pPr>
              <w:pStyle w:val="TableContents"/>
              <w:spacing w:after="0"/>
              <w:jc w:val="both"/>
            </w:pPr>
            <w:r>
              <w:rPr>
                <w:b/>
                <w:sz w:val="20"/>
              </w:rPr>
              <w:t>4.2.5 Снимање на видеа со лица на кои им се блокирани сметките и ќе зборуваат за прекршено право и ќе бараат одговорност и ќе нудат решенија</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51509FA7" w14:textId="77777777" w:rsidR="00A52A9A" w:rsidRDefault="00A52A9A" w:rsidP="00A86A0C">
            <w:pPr>
              <w:pStyle w:val="TableContents"/>
              <w:jc w:val="both"/>
            </w:pPr>
          </w:p>
        </w:tc>
      </w:tr>
      <w:tr w:rsidR="00A52A9A" w14:paraId="415C0C88"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15C9E44A" w14:textId="77777777" w:rsidR="00A52A9A" w:rsidRDefault="00A52A9A" w:rsidP="00A86A0C">
            <w:pPr>
              <w:pStyle w:val="TableContents"/>
              <w:spacing w:after="0"/>
              <w:jc w:val="both"/>
            </w:pPr>
            <w:r>
              <w:rPr>
                <w:b/>
                <w:sz w:val="20"/>
              </w:rPr>
              <w:t>4.2.6 Креирање на софтверско решение за сметките на приматели на ГМП и останати приходи, кои се поврзани со социјалниот број како би се оневозможило блокирање на средства од страна на институциите</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7D47AA45" w14:textId="77777777" w:rsidR="00A52A9A" w:rsidRDefault="00A52A9A" w:rsidP="00A86A0C">
            <w:pPr>
              <w:pStyle w:val="TableContents"/>
              <w:jc w:val="both"/>
            </w:pPr>
          </w:p>
        </w:tc>
      </w:tr>
      <w:tr w:rsidR="00A52A9A" w14:paraId="5E2FC95E"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035993CD" w14:textId="77777777" w:rsidR="00A52A9A" w:rsidRDefault="00A52A9A" w:rsidP="00A86A0C">
            <w:pPr>
              <w:pStyle w:val="TableContents"/>
              <w:jc w:val="center"/>
              <w:rPr>
                <w:b/>
                <w:sz w:val="20"/>
              </w:rPr>
            </w:pPr>
          </w:p>
          <w:p w14:paraId="1E87E383" w14:textId="77777777" w:rsidR="00A52A9A" w:rsidRDefault="00A52A9A" w:rsidP="00A86A0C">
            <w:pPr>
              <w:pStyle w:val="TableContents"/>
              <w:jc w:val="center"/>
            </w:pPr>
            <w:r>
              <w:rPr>
                <w:b/>
                <w:sz w:val="20"/>
              </w:rPr>
              <w:t>4.3 Пристап до правда за жени кои претрпеле семејно насилство</w:t>
            </w:r>
          </w:p>
        </w:tc>
      </w:tr>
      <w:tr w:rsidR="00A52A9A" w14:paraId="26CC6F29"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6A4CFE80"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01.10.2021-31.08.2022</w:t>
            </w:r>
          </w:p>
        </w:tc>
      </w:tr>
      <w:tr w:rsidR="00A52A9A" w14:paraId="7FA4F41C"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FFFFFF"/>
          </w:tcPr>
          <w:p w14:paraId="0BD138A3"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DEEAF6"/>
          </w:tcPr>
          <w:p w14:paraId="7476764A" w14:textId="77777777" w:rsidR="00A52A9A" w:rsidRPr="00142F34" w:rsidRDefault="00A52A9A" w:rsidP="00A86A0C">
            <w:pPr>
              <w:pStyle w:val="TableContents"/>
              <w:jc w:val="center"/>
              <w:rPr>
                <w:sz w:val="20"/>
                <w:szCs w:val="20"/>
              </w:rPr>
            </w:pPr>
            <w:r w:rsidRPr="00142F34">
              <w:rPr>
                <w:sz w:val="20"/>
                <w:szCs w:val="20"/>
              </w:rPr>
              <w:t>Министерство за правда</w:t>
            </w:r>
          </w:p>
        </w:tc>
      </w:tr>
      <w:tr w:rsidR="00A52A9A" w14:paraId="1D0BB894" w14:textId="77777777" w:rsidTr="00A86A0C">
        <w:tblPrEx>
          <w:tblCellMar>
            <w:left w:w="115" w:type="dxa"/>
            <w:right w:w="115" w:type="dxa"/>
          </w:tblCellMar>
        </w:tblPrEx>
        <w:tc>
          <w:tcPr>
            <w:tcW w:w="4049" w:type="dxa"/>
            <w:gridSpan w:val="2"/>
            <w:vMerge w:val="restart"/>
            <w:tcBorders>
              <w:top w:val="single" w:sz="8" w:space="0" w:color="000001"/>
              <w:left w:val="single" w:sz="8" w:space="0" w:color="000001"/>
              <w:right w:val="single" w:sz="8" w:space="0" w:color="000001"/>
            </w:tcBorders>
            <w:shd w:val="clear" w:color="auto" w:fill="FFFFFF"/>
            <w:vAlign w:val="center"/>
          </w:tcPr>
          <w:p w14:paraId="7635C07E" w14:textId="77777777" w:rsidR="00A52A9A" w:rsidRDefault="00A52A9A" w:rsidP="00A86A0C">
            <w:pPr>
              <w:pStyle w:val="TableContents"/>
              <w:spacing w:after="0"/>
              <w:jc w:val="center"/>
            </w:pPr>
            <w:r>
              <w:rPr>
                <w:b/>
                <w:sz w:val="20"/>
              </w:rPr>
              <w:t>Статус на реализација на заложбата</w:t>
            </w:r>
          </w:p>
          <w:p w14:paraId="07269864"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6EB0D61E" w14:textId="77777777" w:rsidR="00A52A9A" w:rsidRPr="00C631BF" w:rsidRDefault="00A52A9A" w:rsidP="00A86A0C">
            <w:pPr>
              <w:pStyle w:val="TableContents"/>
              <w:jc w:val="center"/>
              <w:rPr>
                <w:sz w:val="17"/>
                <w:szCs w:val="17"/>
              </w:rPr>
            </w:pPr>
            <w:proofErr w:type="spellStart"/>
            <w:r w:rsidRPr="00C631BF">
              <w:rPr>
                <w:b/>
                <w:color w:val="000000"/>
                <w:sz w:val="17"/>
                <w:szCs w:val="17"/>
              </w:rPr>
              <w:t>незапочнато</w:t>
            </w:r>
            <w:proofErr w:type="spellEnd"/>
          </w:p>
        </w:tc>
        <w:tc>
          <w:tcPr>
            <w:tcW w:w="1363"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1133A08" w14:textId="77777777" w:rsidR="00A52A9A" w:rsidRDefault="00A52A9A" w:rsidP="00A86A0C">
            <w:pPr>
              <w:pStyle w:val="TableContents"/>
              <w:jc w:val="center"/>
            </w:pPr>
            <w:r>
              <w:rPr>
                <w:b/>
                <w:color w:val="000000"/>
                <w:sz w:val="18"/>
              </w:rPr>
              <w:t>ограничено</w:t>
            </w:r>
          </w:p>
        </w:tc>
        <w:tc>
          <w:tcPr>
            <w:tcW w:w="1377"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9A60592" w14:textId="77777777" w:rsidR="00A52A9A" w:rsidRDefault="00A52A9A" w:rsidP="00A86A0C">
            <w:pPr>
              <w:pStyle w:val="TableContents"/>
              <w:jc w:val="center"/>
            </w:pPr>
            <w:r>
              <w:rPr>
                <w:b/>
                <w:color w:val="000000"/>
                <w:sz w:val="18"/>
              </w:rPr>
              <w:t>значително</w:t>
            </w:r>
          </w:p>
        </w:tc>
        <w:tc>
          <w:tcPr>
            <w:tcW w:w="119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61308283" w14:textId="77777777" w:rsidR="00A52A9A" w:rsidRDefault="00A52A9A" w:rsidP="00A86A0C">
            <w:pPr>
              <w:pStyle w:val="TableContents"/>
              <w:jc w:val="center"/>
            </w:pPr>
            <w:r>
              <w:rPr>
                <w:b/>
                <w:color w:val="000000"/>
                <w:sz w:val="18"/>
              </w:rPr>
              <w:t>завршено</w:t>
            </w:r>
          </w:p>
        </w:tc>
      </w:tr>
      <w:tr w:rsidR="00A52A9A" w14:paraId="20EEA67A" w14:textId="77777777" w:rsidTr="00A86A0C">
        <w:tblPrEx>
          <w:tblCellMar>
            <w:left w:w="115" w:type="dxa"/>
            <w:right w:w="115" w:type="dxa"/>
          </w:tblCellMar>
        </w:tblPrEx>
        <w:tc>
          <w:tcPr>
            <w:tcW w:w="4049" w:type="dxa"/>
            <w:gridSpan w:val="2"/>
            <w:vMerge/>
            <w:tcBorders>
              <w:top w:val="single" w:sz="8" w:space="0" w:color="000001"/>
              <w:left w:val="single" w:sz="8" w:space="0" w:color="000001"/>
              <w:right w:val="single" w:sz="8" w:space="0" w:color="000001"/>
            </w:tcBorders>
            <w:shd w:val="clear" w:color="auto" w:fill="FFFFFF"/>
            <w:vAlign w:val="center"/>
          </w:tcPr>
          <w:p w14:paraId="65B4C933"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639795A6" w14:textId="77777777" w:rsidR="00A52A9A" w:rsidRDefault="00A52A9A" w:rsidP="00A86A0C">
            <w:pPr>
              <w:pStyle w:val="TableContents"/>
              <w:jc w:val="both"/>
            </w:pPr>
          </w:p>
        </w:tc>
        <w:tc>
          <w:tcPr>
            <w:tcW w:w="1363"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4954DF44" w14:textId="77777777" w:rsidR="00A52A9A" w:rsidRDefault="00A52A9A" w:rsidP="00A86A0C">
            <w:pPr>
              <w:pStyle w:val="TableContents"/>
              <w:jc w:val="both"/>
            </w:pPr>
          </w:p>
        </w:tc>
        <w:tc>
          <w:tcPr>
            <w:tcW w:w="1377" w:type="dxa"/>
            <w:tcBorders>
              <w:top w:val="single" w:sz="8" w:space="0" w:color="000001"/>
              <w:left w:val="single" w:sz="8" w:space="0" w:color="000001"/>
              <w:bottom w:val="single" w:sz="8" w:space="0" w:color="000001"/>
              <w:right w:val="single" w:sz="8" w:space="0" w:color="000001"/>
            </w:tcBorders>
            <w:shd w:val="clear" w:color="auto" w:fill="548DD4"/>
            <w:vAlign w:val="center"/>
          </w:tcPr>
          <w:p w14:paraId="58060500" w14:textId="77777777" w:rsidR="00A52A9A" w:rsidRDefault="00A52A9A" w:rsidP="00A86A0C">
            <w:pPr>
              <w:pStyle w:val="TableContents"/>
              <w:jc w:val="both"/>
            </w:pPr>
          </w:p>
        </w:tc>
        <w:tc>
          <w:tcPr>
            <w:tcW w:w="119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79FAADE8" w14:textId="77777777" w:rsidR="00A52A9A" w:rsidRDefault="00A52A9A" w:rsidP="00A86A0C">
            <w:pPr>
              <w:pStyle w:val="TableContents"/>
              <w:jc w:val="both"/>
            </w:pPr>
          </w:p>
        </w:tc>
      </w:tr>
      <w:tr w:rsidR="00A52A9A" w14:paraId="7D1F3164"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BDD6EE"/>
          </w:tcPr>
          <w:p w14:paraId="7E756045" w14:textId="77777777" w:rsidR="00A52A9A" w:rsidRDefault="00A52A9A" w:rsidP="00A86A0C">
            <w:pPr>
              <w:pStyle w:val="TableContents"/>
              <w:jc w:val="center"/>
            </w:pPr>
            <w:r>
              <w:rPr>
                <w:b/>
                <w:sz w:val="20"/>
              </w:rPr>
              <w:t>Достигнувања</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BDD6EE"/>
          </w:tcPr>
          <w:p w14:paraId="77FB41FB"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05C43CB2"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30B6C93B" w14:textId="77777777" w:rsidR="00A52A9A" w:rsidRDefault="00A52A9A" w:rsidP="00A86A0C">
            <w:pPr>
              <w:pStyle w:val="TableContents"/>
              <w:spacing w:after="0"/>
              <w:jc w:val="both"/>
            </w:pPr>
            <w:r>
              <w:rPr>
                <w:b/>
                <w:sz w:val="20"/>
              </w:rPr>
              <w:t xml:space="preserve">4.3.1 Организирање на работни средби за дополнување на судскиот деловник од страна на МП </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6F52B8AB" w14:textId="77777777" w:rsidR="00A52A9A" w:rsidRPr="009C1913" w:rsidRDefault="00A52A9A" w:rsidP="00A52A9A">
            <w:pPr>
              <w:pStyle w:val="TableContents"/>
              <w:numPr>
                <w:ilvl w:val="0"/>
                <w:numId w:val="4"/>
              </w:numPr>
              <w:tabs>
                <w:tab w:val="clear" w:pos="707"/>
                <w:tab w:val="left" w:pos="457"/>
              </w:tabs>
              <w:spacing w:after="0"/>
              <w:ind w:left="457"/>
              <w:jc w:val="both"/>
              <w:rPr>
                <w:sz w:val="20"/>
                <w:szCs w:val="20"/>
              </w:rPr>
            </w:pPr>
            <w:r w:rsidRPr="009C1913">
              <w:rPr>
                <w:sz w:val="20"/>
                <w:szCs w:val="20"/>
              </w:rPr>
              <w:t xml:space="preserve">Известување на РГ за Судскиот деловник </w:t>
            </w:r>
          </w:p>
          <w:p w14:paraId="538368F6" w14:textId="77777777" w:rsidR="00A52A9A" w:rsidRPr="009C1913" w:rsidRDefault="00A52A9A" w:rsidP="00A52A9A">
            <w:pPr>
              <w:pStyle w:val="TableContents"/>
              <w:numPr>
                <w:ilvl w:val="0"/>
                <w:numId w:val="4"/>
              </w:numPr>
              <w:tabs>
                <w:tab w:val="clear" w:pos="707"/>
                <w:tab w:val="left" w:pos="457"/>
              </w:tabs>
              <w:spacing w:after="0"/>
              <w:ind w:left="457"/>
              <w:jc w:val="both"/>
              <w:rPr>
                <w:sz w:val="20"/>
                <w:szCs w:val="20"/>
              </w:rPr>
            </w:pPr>
            <w:r w:rsidRPr="009C1913">
              <w:rPr>
                <w:sz w:val="20"/>
                <w:szCs w:val="20"/>
              </w:rPr>
              <w:t xml:space="preserve">Одржани повеќе работни средби во  март 2022 на ангажирани експерти од МТСП за подготовка на подзаконските акти во надлежност на МП за семејно насилство (Судски совет, Работно тело во Врховен суд, МП) </w:t>
            </w:r>
          </w:p>
          <w:p w14:paraId="735E947C" w14:textId="77777777" w:rsidR="00A52A9A" w:rsidRPr="009C1913" w:rsidRDefault="00A52A9A" w:rsidP="00A52A9A">
            <w:pPr>
              <w:pStyle w:val="TableContents"/>
              <w:numPr>
                <w:ilvl w:val="0"/>
                <w:numId w:val="4"/>
              </w:numPr>
              <w:tabs>
                <w:tab w:val="clear" w:pos="707"/>
                <w:tab w:val="left" w:pos="457"/>
              </w:tabs>
              <w:spacing w:after="0"/>
              <w:ind w:left="457"/>
              <w:jc w:val="both"/>
              <w:rPr>
                <w:sz w:val="20"/>
                <w:szCs w:val="20"/>
              </w:rPr>
            </w:pPr>
            <w:r w:rsidRPr="009C1913">
              <w:rPr>
                <w:sz w:val="20"/>
                <w:szCs w:val="20"/>
              </w:rPr>
              <w:t xml:space="preserve">Во текот на месеците април, мај и јуни 2022 година по извршените консултации со сите засегнати страни (судови, јавни обвинителства, надлежни институции, граѓански организации, работни групи формирани во МТСП за </w:t>
            </w:r>
            <w:r w:rsidRPr="009C1913">
              <w:rPr>
                <w:sz w:val="20"/>
                <w:szCs w:val="20"/>
              </w:rPr>
              <w:lastRenderedPageBreak/>
              <w:t xml:space="preserve">спроведување на законот) беа подготвени подзаконските акти за собирање на податоци за семејно насилство во судовите и јавните обвинителства заедно со прилог – Список на податоци за случаите на родово-базирано насилство врз жените и семејно насилство. Овие предлог – правилници се доставени до: Советот за ИКТ во правосудниот сектор, РГ за Судскиот деловник и Работното тело за стандардизација, од каде се очекува да бидат разгледани и одобрени во текот на месеците јули, август и септември 2022 година. </w:t>
            </w:r>
          </w:p>
          <w:p w14:paraId="0E734133" w14:textId="77777777" w:rsidR="00A52A9A" w:rsidRPr="009C1913" w:rsidRDefault="00A52A9A" w:rsidP="00A52A9A">
            <w:pPr>
              <w:pStyle w:val="TableContents"/>
              <w:numPr>
                <w:ilvl w:val="0"/>
                <w:numId w:val="4"/>
              </w:numPr>
              <w:tabs>
                <w:tab w:val="clear" w:pos="707"/>
                <w:tab w:val="left" w:pos="457"/>
              </w:tabs>
              <w:spacing w:after="0"/>
              <w:ind w:left="457"/>
              <w:jc w:val="both"/>
              <w:rPr>
                <w:sz w:val="20"/>
                <w:szCs w:val="20"/>
              </w:rPr>
            </w:pPr>
            <w:r w:rsidRPr="009C1913">
              <w:rPr>
                <w:sz w:val="20"/>
                <w:szCs w:val="20"/>
              </w:rPr>
              <w:t xml:space="preserve">Во месеците јули, август и септември 2022 година предлог – подзаконските акти беа одобрени од Советот за ИКТ и усогласени со мислењето на Секретаријатот за законодавство. Воедно, предлог-правилниците беа доставени на мислење до Врховниот суд на Република Северна Македонија. </w:t>
            </w:r>
          </w:p>
          <w:p w14:paraId="76990795" w14:textId="77777777" w:rsidR="00A52A9A" w:rsidRPr="009C1913" w:rsidRDefault="00A52A9A" w:rsidP="00A52A9A">
            <w:pPr>
              <w:pStyle w:val="TableContents"/>
              <w:numPr>
                <w:ilvl w:val="0"/>
                <w:numId w:val="4"/>
              </w:numPr>
              <w:tabs>
                <w:tab w:val="clear" w:pos="707"/>
                <w:tab w:val="left" w:pos="457"/>
              </w:tabs>
              <w:spacing w:after="0"/>
              <w:ind w:left="457"/>
              <w:jc w:val="both"/>
              <w:rPr>
                <w:sz w:val="20"/>
                <w:szCs w:val="20"/>
              </w:rPr>
            </w:pPr>
            <w:r w:rsidRPr="009C1913">
              <w:rPr>
                <w:sz w:val="20"/>
                <w:szCs w:val="20"/>
              </w:rPr>
              <w:t xml:space="preserve">Во месец ноември 2022 Врховниот суд даде позитивно мислење за двата правилници и го поздрави воведувањето на посебна евиденција за семејно насилство. </w:t>
            </w:r>
          </w:p>
          <w:p w14:paraId="67C4D8F6" w14:textId="77777777" w:rsidR="00A52A9A" w:rsidRPr="009C1913" w:rsidRDefault="00A52A9A" w:rsidP="00A52A9A">
            <w:pPr>
              <w:pStyle w:val="TableContents"/>
              <w:numPr>
                <w:ilvl w:val="0"/>
                <w:numId w:val="4"/>
              </w:numPr>
              <w:tabs>
                <w:tab w:val="clear" w:pos="707"/>
                <w:tab w:val="left" w:pos="457"/>
              </w:tabs>
              <w:ind w:left="457"/>
              <w:jc w:val="both"/>
              <w:rPr>
                <w:sz w:val="20"/>
                <w:szCs w:val="20"/>
              </w:rPr>
            </w:pPr>
            <w:r w:rsidRPr="009C1913">
              <w:rPr>
                <w:sz w:val="20"/>
                <w:szCs w:val="20"/>
              </w:rPr>
              <w:t xml:space="preserve">Министерот за правда на ден 7 декември 2022 година ги донесе двата правилници за посебна евиденција на податоците за семејно насилство во судовите и јавните обвинителства, кои беа објавени во „Службен весник на РСМ“ бр.267 од 12.12.2022 година и бр.268 од 13.12.2022 година. </w:t>
            </w:r>
          </w:p>
        </w:tc>
      </w:tr>
      <w:tr w:rsidR="00A52A9A" w14:paraId="3993A04E"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54593EA5" w14:textId="77777777" w:rsidR="00A52A9A" w:rsidRDefault="00A52A9A" w:rsidP="00A86A0C">
            <w:pPr>
              <w:pStyle w:val="TableContents"/>
              <w:spacing w:after="0"/>
              <w:jc w:val="both"/>
            </w:pPr>
            <w:r>
              <w:rPr>
                <w:b/>
                <w:sz w:val="20"/>
              </w:rPr>
              <w:lastRenderedPageBreak/>
              <w:t xml:space="preserve">4.3.2 Посебна евиденција и квартално објавување на податоци за судски предмети на семејно насилство </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7EC532CE" w14:textId="77777777" w:rsidR="00A52A9A" w:rsidRPr="009C1913" w:rsidRDefault="00A52A9A" w:rsidP="00A86A0C">
            <w:pPr>
              <w:pStyle w:val="TableContents"/>
              <w:ind w:left="457" w:hanging="283"/>
              <w:jc w:val="both"/>
              <w:rPr>
                <w:sz w:val="20"/>
                <w:szCs w:val="20"/>
              </w:rPr>
            </w:pPr>
            <w:r w:rsidRPr="009C1913">
              <w:rPr>
                <w:sz w:val="20"/>
                <w:szCs w:val="20"/>
              </w:rPr>
              <w:t>1. Со донесувањето на правилниците со кои се уредува начинот и собирањето на податоците за семејно насилство во судовите и јавните обвинителства ќе започне редовното објавување на податоците за семејно насилство.</w:t>
            </w:r>
          </w:p>
          <w:p w14:paraId="6E3AF421" w14:textId="77777777" w:rsidR="00A52A9A" w:rsidRPr="009C1913" w:rsidRDefault="00A52A9A" w:rsidP="00A86A0C">
            <w:pPr>
              <w:pStyle w:val="TableContents"/>
              <w:ind w:left="457" w:hanging="283"/>
              <w:jc w:val="both"/>
              <w:rPr>
                <w:sz w:val="20"/>
                <w:szCs w:val="20"/>
              </w:rPr>
            </w:pPr>
            <w:r w:rsidRPr="009C1913">
              <w:rPr>
                <w:sz w:val="20"/>
                <w:szCs w:val="20"/>
              </w:rPr>
              <w:t>2. Министерот за правда на ден 7 декември 2022 година ги донесе двата правилници за посебна евиденција на податоците за семејно насилство во судовите и јавните обвинителства, кои беа објавени во „Службен весник на РСМ“ бр.267 од 12.12.2022 година и бр.268 од 13.12.2022 година.</w:t>
            </w:r>
          </w:p>
          <w:p w14:paraId="66B49A62" w14:textId="77777777" w:rsidR="00A52A9A" w:rsidRPr="009C1913" w:rsidRDefault="00A52A9A" w:rsidP="00A86A0C">
            <w:pPr>
              <w:pStyle w:val="TableContents"/>
              <w:ind w:left="457" w:hanging="283"/>
              <w:jc w:val="both"/>
              <w:rPr>
                <w:sz w:val="20"/>
                <w:szCs w:val="20"/>
              </w:rPr>
            </w:pPr>
            <w:r w:rsidRPr="009C1913">
              <w:rPr>
                <w:sz w:val="20"/>
                <w:szCs w:val="20"/>
              </w:rPr>
              <w:lastRenderedPageBreak/>
              <w:t>3.</w:t>
            </w:r>
            <w:r>
              <w:rPr>
                <w:sz w:val="20"/>
                <w:szCs w:val="20"/>
              </w:rPr>
              <w:t xml:space="preserve"> </w:t>
            </w:r>
            <w:r w:rsidRPr="009C1913">
              <w:rPr>
                <w:sz w:val="20"/>
                <w:szCs w:val="20"/>
              </w:rPr>
              <w:t>Согласно правилниците, податоците се објавуваат на веб страницата на судот/јавното обвинителство на квартално ниво, почнувајќи од првиот квартал 2023 година.</w:t>
            </w:r>
          </w:p>
        </w:tc>
      </w:tr>
      <w:tr w:rsidR="00A52A9A" w14:paraId="5C68828D"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6F79B017" w14:textId="77777777" w:rsidR="00A52A9A" w:rsidRDefault="00A52A9A" w:rsidP="00A86A0C">
            <w:pPr>
              <w:pStyle w:val="TableContents"/>
              <w:spacing w:after="0"/>
              <w:jc w:val="both"/>
            </w:pPr>
            <w:r>
              <w:rPr>
                <w:b/>
                <w:sz w:val="20"/>
              </w:rPr>
              <w:lastRenderedPageBreak/>
              <w:t xml:space="preserve">4.3.3 Назначување на дежурни судии во сите основни судови </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2A6567CE" w14:textId="77777777" w:rsidR="00A52A9A" w:rsidRPr="00696597" w:rsidRDefault="00A52A9A" w:rsidP="00A86A0C">
            <w:pPr>
              <w:pStyle w:val="TableContents"/>
              <w:ind w:left="457" w:hanging="283"/>
              <w:jc w:val="both"/>
              <w:rPr>
                <w:sz w:val="20"/>
                <w:szCs w:val="20"/>
              </w:rPr>
            </w:pPr>
            <w:r w:rsidRPr="00696597">
              <w:rPr>
                <w:sz w:val="20"/>
                <w:szCs w:val="20"/>
              </w:rPr>
              <w:t>1. Во судовите согласно Годишниот распоред за работа се спроведува пракса на назначување на дежурни судии кои работат и на предмети од оваа област, но нема законска обврска за назначување на посебен дежурен судија кој ќе постапува исклучиво на предмети од семејно насилство. Во кривичниот оддел на овие предмети им се дава приоритет во постапувањето. Во граѓанскиот оддел нема посебно назначени дежурни судии за овој вид предмети, но вообичаено судиите кои постапуваат по вонпарнични предмети постапуваат по истите како итни предмети.</w:t>
            </w:r>
          </w:p>
          <w:p w14:paraId="0F4C10A5" w14:textId="77777777" w:rsidR="00A52A9A" w:rsidRPr="00696597" w:rsidRDefault="00A52A9A" w:rsidP="00A86A0C">
            <w:pPr>
              <w:pStyle w:val="TableContents"/>
              <w:ind w:left="457" w:hanging="283"/>
              <w:jc w:val="both"/>
              <w:rPr>
                <w:sz w:val="20"/>
                <w:szCs w:val="20"/>
              </w:rPr>
            </w:pPr>
            <w:r w:rsidRPr="00696597">
              <w:rPr>
                <w:sz w:val="20"/>
                <w:szCs w:val="20"/>
              </w:rPr>
              <w:t>2.  Со цел да се мотивира во секој суд да се обезбеди најмалку еден дежурен судија и судски службеник кои ќе одговорат на потребите, Министерството за правда со допис во месец јули 2022 година до судовите  достави известување за заложбата 4.3. Пристап до правда за жени кои претрпеле семејно насилство и достигнувањето 4.3.3 Назначување на дежурни судии во сите основни судови. Со дописот исто така се бараше известување на постојната пракса во судовите за ова прашање во последните 3 години.</w:t>
            </w:r>
          </w:p>
          <w:p w14:paraId="7427565E" w14:textId="77777777" w:rsidR="00A52A9A" w:rsidRPr="00696597" w:rsidRDefault="00A52A9A" w:rsidP="00A86A0C">
            <w:pPr>
              <w:pStyle w:val="TableContents"/>
              <w:ind w:left="457" w:hanging="283"/>
              <w:jc w:val="both"/>
              <w:rPr>
                <w:sz w:val="20"/>
                <w:szCs w:val="20"/>
              </w:rPr>
            </w:pPr>
            <w:r w:rsidRPr="00696597">
              <w:rPr>
                <w:sz w:val="20"/>
                <w:szCs w:val="20"/>
              </w:rPr>
              <w:t xml:space="preserve">3. Согласно доставените одговори може да се заклучи дека во судовите редовно се назначуваат дежурни кривични судии согласно Годишниот распоред за работа согласно закон, кои покрај постапувањето по други предмети, постапуваат и по овој вид на предмети. Посебно назначени судии во граѓанска постапка за овој вид предмети нема, бидејќи нема посебна законска обврска, а по предметите постапуваат дежурни судии кои постапуваат по вонпарнични предмети и овие предмети ги земаат во работа </w:t>
            </w:r>
            <w:r w:rsidRPr="00696597">
              <w:rPr>
                <w:sz w:val="20"/>
                <w:szCs w:val="20"/>
              </w:rPr>
              <w:lastRenderedPageBreak/>
              <w:t>како итни согласно предвидените кратки рокови во Законот за спречување и заштита од насилство врз жените и сем</w:t>
            </w:r>
            <w:r>
              <w:rPr>
                <w:sz w:val="20"/>
                <w:szCs w:val="20"/>
              </w:rPr>
              <w:t>е</w:t>
            </w:r>
            <w:r w:rsidRPr="00696597">
              <w:rPr>
                <w:sz w:val="20"/>
                <w:szCs w:val="20"/>
              </w:rPr>
              <w:t>јното насилство.</w:t>
            </w:r>
          </w:p>
          <w:p w14:paraId="2429387B" w14:textId="77777777" w:rsidR="00A52A9A" w:rsidRPr="00696597" w:rsidRDefault="00A52A9A" w:rsidP="00A86A0C">
            <w:pPr>
              <w:pStyle w:val="TableContents"/>
              <w:ind w:left="457" w:hanging="283"/>
              <w:jc w:val="both"/>
              <w:rPr>
                <w:sz w:val="20"/>
                <w:szCs w:val="20"/>
              </w:rPr>
            </w:pPr>
            <w:r w:rsidRPr="00696597">
              <w:rPr>
                <w:sz w:val="20"/>
                <w:szCs w:val="20"/>
              </w:rPr>
              <w:t>4. За поздравување се одговорите од претседателите на судовите и позитивниот став и одговор кон ова прашање, за предметите секогаш да има дежурен судија, а таму каде што има услови во судот ќе бидат определени дежурни судии кои ќе постапуваат само по овие предмети.</w:t>
            </w:r>
          </w:p>
        </w:tc>
      </w:tr>
      <w:tr w:rsidR="00A52A9A" w14:paraId="0556C7F2"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30653A15" w14:textId="77777777" w:rsidR="00A52A9A" w:rsidRDefault="00A52A9A" w:rsidP="00A86A0C">
            <w:pPr>
              <w:pStyle w:val="TableContents"/>
              <w:spacing w:after="0"/>
              <w:jc w:val="both"/>
            </w:pPr>
            <w:r>
              <w:rPr>
                <w:b/>
                <w:sz w:val="20"/>
              </w:rPr>
              <w:lastRenderedPageBreak/>
              <w:t xml:space="preserve">4.3.4 Формирање на работна група и организирање на работни средби за ревидирање и дополнување на обрасци (кривични дела, прекршоци и поплаки) за собирање на податоци од страна на полиција </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36720FD2" w14:textId="77777777" w:rsidR="00A52A9A" w:rsidRPr="00696597" w:rsidRDefault="00A52A9A" w:rsidP="00A52A9A">
            <w:pPr>
              <w:pStyle w:val="TableContents"/>
              <w:numPr>
                <w:ilvl w:val="0"/>
                <w:numId w:val="5"/>
              </w:numPr>
              <w:tabs>
                <w:tab w:val="clear" w:pos="707"/>
                <w:tab w:val="left" w:pos="457"/>
              </w:tabs>
              <w:spacing w:after="0"/>
              <w:ind w:left="457"/>
              <w:jc w:val="both"/>
              <w:rPr>
                <w:sz w:val="20"/>
                <w:szCs w:val="20"/>
              </w:rPr>
            </w:pPr>
            <w:r w:rsidRPr="00696597">
              <w:rPr>
                <w:sz w:val="20"/>
                <w:szCs w:val="20"/>
              </w:rPr>
              <w:t xml:space="preserve">Во февруари 2022 година формирана е </w:t>
            </w:r>
            <w:proofErr w:type="spellStart"/>
            <w:r w:rsidRPr="00696597">
              <w:rPr>
                <w:sz w:val="20"/>
                <w:szCs w:val="20"/>
              </w:rPr>
              <w:t>мултисекторска</w:t>
            </w:r>
            <w:proofErr w:type="spellEnd"/>
            <w:r w:rsidRPr="00696597">
              <w:rPr>
                <w:sz w:val="20"/>
                <w:szCs w:val="20"/>
              </w:rPr>
              <w:t xml:space="preserve"> работна група. Постојните податоци во системот (вид и број на </w:t>
            </w:r>
            <w:proofErr w:type="spellStart"/>
            <w:r w:rsidRPr="00696597">
              <w:rPr>
                <w:sz w:val="20"/>
                <w:szCs w:val="20"/>
              </w:rPr>
              <w:t>кд</w:t>
            </w:r>
            <w:proofErr w:type="spellEnd"/>
            <w:r w:rsidRPr="00696597">
              <w:rPr>
                <w:sz w:val="20"/>
                <w:szCs w:val="20"/>
              </w:rPr>
              <w:t xml:space="preserve">, подрачје каде е сторено </w:t>
            </w:r>
            <w:proofErr w:type="spellStart"/>
            <w:r w:rsidRPr="00696597">
              <w:rPr>
                <w:sz w:val="20"/>
                <w:szCs w:val="20"/>
              </w:rPr>
              <w:t>кд</w:t>
            </w:r>
            <w:proofErr w:type="spellEnd"/>
            <w:r w:rsidRPr="00696597">
              <w:rPr>
                <w:sz w:val="20"/>
                <w:szCs w:val="20"/>
              </w:rPr>
              <w:t xml:space="preserve">, пол, род, сродство и број на жртви; кај прекршоците  и начинот на извршување и дејството ) се очекува да се </w:t>
            </w:r>
            <w:proofErr w:type="spellStart"/>
            <w:r w:rsidRPr="00696597">
              <w:rPr>
                <w:sz w:val="20"/>
                <w:szCs w:val="20"/>
              </w:rPr>
              <w:t>надоградат</w:t>
            </w:r>
            <w:proofErr w:type="spellEnd"/>
            <w:r w:rsidRPr="00696597">
              <w:rPr>
                <w:sz w:val="20"/>
                <w:szCs w:val="20"/>
              </w:rPr>
              <w:t xml:space="preserve"> со  други податоци согласно Законот за спречување и заштита од насилство врз жените и семејното насилство. </w:t>
            </w:r>
          </w:p>
          <w:p w14:paraId="50D5BD1C" w14:textId="77777777" w:rsidR="00A52A9A" w:rsidRPr="00696597" w:rsidRDefault="00A52A9A" w:rsidP="00A52A9A">
            <w:pPr>
              <w:pStyle w:val="TableContents"/>
              <w:numPr>
                <w:ilvl w:val="0"/>
                <w:numId w:val="5"/>
              </w:numPr>
              <w:tabs>
                <w:tab w:val="clear" w:pos="707"/>
                <w:tab w:val="left" w:pos="457"/>
              </w:tabs>
              <w:spacing w:after="0"/>
              <w:ind w:left="457"/>
              <w:jc w:val="both"/>
              <w:rPr>
                <w:sz w:val="20"/>
                <w:szCs w:val="20"/>
              </w:rPr>
            </w:pPr>
            <w:r w:rsidRPr="00696597">
              <w:rPr>
                <w:rStyle w:val="Emphasis"/>
                <w:sz w:val="20"/>
                <w:szCs w:val="20"/>
              </w:rPr>
              <w:t>Правилник за формата, содржината и начинот на интегрирано прибирање на статистички и административни податоци за состојбата со родово базирано насилство врз жените и семејно насилство</w:t>
            </w:r>
            <w:r w:rsidRPr="00696597">
              <w:rPr>
                <w:sz w:val="20"/>
                <w:szCs w:val="20"/>
              </w:rPr>
              <w:t xml:space="preserve"> ќе биде основа за ревидирање и дополнување на обрасците. </w:t>
            </w:r>
          </w:p>
          <w:tbl>
            <w:tblPr>
              <w:tblW w:w="0" w:type="auto"/>
              <w:tblInd w:w="707" w:type="dxa"/>
              <w:tblLayout w:type="fixed"/>
              <w:tblCellMar>
                <w:top w:w="28" w:type="dxa"/>
                <w:left w:w="28" w:type="dxa"/>
                <w:bottom w:w="28" w:type="dxa"/>
                <w:right w:w="28" w:type="dxa"/>
              </w:tblCellMar>
              <w:tblLook w:val="0000" w:firstRow="0" w:lastRow="0" w:firstColumn="0" w:lastColumn="0" w:noHBand="0" w:noVBand="0"/>
            </w:tblPr>
            <w:tblGrid>
              <w:gridCol w:w="4533"/>
            </w:tblGrid>
            <w:tr w:rsidR="00A52A9A" w:rsidRPr="00696597" w14:paraId="41666E7C" w14:textId="77777777" w:rsidTr="00A86A0C">
              <w:tc>
                <w:tcPr>
                  <w:tcW w:w="4533" w:type="dxa"/>
                  <w:shd w:val="clear" w:color="auto" w:fill="auto"/>
                  <w:vAlign w:val="center"/>
                </w:tcPr>
                <w:p w14:paraId="32C4C280" w14:textId="77777777" w:rsidR="00A52A9A" w:rsidRPr="00696597" w:rsidRDefault="00A52A9A" w:rsidP="00A86A0C">
                  <w:pPr>
                    <w:pStyle w:val="TableContents"/>
                    <w:ind w:left="457"/>
                    <w:jc w:val="both"/>
                    <w:rPr>
                      <w:sz w:val="20"/>
                      <w:szCs w:val="20"/>
                    </w:rPr>
                  </w:pPr>
                  <w:r w:rsidRPr="00696597">
                    <w:rPr>
                      <w:sz w:val="20"/>
                      <w:szCs w:val="20"/>
                    </w:rPr>
                    <w:t>За ова ангажирани се двајца  консултанти од страна на UNFPA (</w:t>
                  </w:r>
                  <w:proofErr w:type="spellStart"/>
                  <w:r w:rsidRPr="00696597">
                    <w:rPr>
                      <w:sz w:val="20"/>
                      <w:szCs w:val="20"/>
                    </w:rPr>
                    <w:t>United</w:t>
                  </w:r>
                  <w:proofErr w:type="spellEnd"/>
                  <w:r w:rsidRPr="00696597">
                    <w:rPr>
                      <w:sz w:val="20"/>
                      <w:szCs w:val="20"/>
                    </w:rPr>
                    <w:t xml:space="preserve"> </w:t>
                  </w:r>
                  <w:proofErr w:type="spellStart"/>
                  <w:r w:rsidRPr="00696597">
                    <w:rPr>
                      <w:sz w:val="20"/>
                      <w:szCs w:val="20"/>
                    </w:rPr>
                    <w:t>Nations</w:t>
                  </w:r>
                  <w:proofErr w:type="spellEnd"/>
                  <w:r w:rsidRPr="00696597">
                    <w:rPr>
                      <w:sz w:val="20"/>
                      <w:szCs w:val="20"/>
                    </w:rPr>
                    <w:t xml:space="preserve"> </w:t>
                  </w:r>
                  <w:proofErr w:type="spellStart"/>
                  <w:r w:rsidRPr="00696597">
                    <w:rPr>
                      <w:sz w:val="20"/>
                      <w:szCs w:val="20"/>
                    </w:rPr>
                    <w:t>Population</w:t>
                  </w:r>
                  <w:proofErr w:type="spellEnd"/>
                  <w:r w:rsidRPr="00696597">
                    <w:rPr>
                      <w:sz w:val="20"/>
                      <w:szCs w:val="20"/>
                    </w:rPr>
                    <w:t xml:space="preserve"> </w:t>
                  </w:r>
                  <w:proofErr w:type="spellStart"/>
                  <w:r w:rsidRPr="00696597">
                    <w:rPr>
                      <w:sz w:val="20"/>
                      <w:szCs w:val="20"/>
                    </w:rPr>
                    <w:t>Found</w:t>
                  </w:r>
                  <w:proofErr w:type="spellEnd"/>
                  <w:r w:rsidRPr="00696597">
                    <w:rPr>
                      <w:sz w:val="20"/>
                      <w:szCs w:val="20"/>
                    </w:rPr>
                    <w:t xml:space="preserve">). Работната група  има одржано еден </w:t>
                  </w:r>
                  <w:proofErr w:type="spellStart"/>
                  <w:r w:rsidRPr="00696597">
                    <w:rPr>
                      <w:sz w:val="20"/>
                      <w:szCs w:val="20"/>
                    </w:rPr>
                    <w:t>on-line</w:t>
                  </w:r>
                  <w:proofErr w:type="spellEnd"/>
                  <w:r w:rsidRPr="00696597">
                    <w:rPr>
                      <w:sz w:val="20"/>
                      <w:szCs w:val="20"/>
                    </w:rPr>
                    <w:t xml:space="preserve"> состанок  во врска со ревидирање на податоците на кој се договорени обврските за изготвување на Правилникот, како и начинот на комуницирање  кој ќе се одвива и преку електронска пошта. Следен состанок е закажан на 04.10.2022година.</w:t>
                  </w:r>
                </w:p>
              </w:tc>
            </w:tr>
          </w:tbl>
          <w:p w14:paraId="11A9578D" w14:textId="77777777" w:rsidR="00A52A9A" w:rsidRPr="00696597" w:rsidRDefault="00A52A9A" w:rsidP="00A52A9A">
            <w:pPr>
              <w:pStyle w:val="TableContents"/>
              <w:numPr>
                <w:ilvl w:val="0"/>
                <w:numId w:val="5"/>
              </w:numPr>
              <w:tabs>
                <w:tab w:val="clear" w:pos="707"/>
                <w:tab w:val="left" w:pos="457"/>
              </w:tabs>
              <w:spacing w:after="0"/>
              <w:ind w:left="457"/>
              <w:jc w:val="both"/>
              <w:rPr>
                <w:sz w:val="20"/>
                <w:szCs w:val="20"/>
              </w:rPr>
            </w:pPr>
            <w:r w:rsidRPr="00696597">
              <w:rPr>
                <w:sz w:val="20"/>
                <w:szCs w:val="20"/>
              </w:rPr>
              <w:t xml:space="preserve">Исто така, од страна на министерот за внатрешни работи формирана е работна група, во која вклучени се академски професори од Факултетот за безбедност, за изработка на </w:t>
            </w:r>
            <w:r w:rsidRPr="00696597">
              <w:rPr>
                <w:sz w:val="20"/>
                <w:szCs w:val="20"/>
              </w:rPr>
              <w:lastRenderedPageBreak/>
              <w:t xml:space="preserve">документите кои произлегуваат од предметниот Законот. Досега работната група на МВР за ревидирање на обрасците за податоците има одржано два состаноци во изминатиов период, на кои  изработен е текстуалниот  дел  за обврските на МВР согласно член 28 став 6 од Законот, а ќе биде содржан во Нацрт-Правилникот. </w:t>
            </w:r>
          </w:p>
          <w:p w14:paraId="28908129" w14:textId="77777777" w:rsidR="00A52A9A" w:rsidRPr="00696597" w:rsidRDefault="00A52A9A" w:rsidP="00A52A9A">
            <w:pPr>
              <w:pStyle w:val="TableContents"/>
              <w:numPr>
                <w:ilvl w:val="0"/>
                <w:numId w:val="5"/>
              </w:numPr>
              <w:tabs>
                <w:tab w:val="clear" w:pos="707"/>
                <w:tab w:val="left" w:pos="457"/>
              </w:tabs>
              <w:spacing w:after="0"/>
              <w:ind w:left="457"/>
              <w:jc w:val="both"/>
              <w:rPr>
                <w:sz w:val="20"/>
                <w:szCs w:val="20"/>
              </w:rPr>
            </w:pPr>
            <w:r w:rsidRPr="00696597">
              <w:rPr>
                <w:sz w:val="20"/>
                <w:szCs w:val="20"/>
              </w:rPr>
              <w:t xml:space="preserve">Работната група продолжува со натамошни средби и консултации за финално изготвување на текстот за ревидирање на обрасците за собирање на податоци. </w:t>
            </w:r>
          </w:p>
          <w:p w14:paraId="4AB7B991" w14:textId="77777777" w:rsidR="00A52A9A" w:rsidRPr="00696597" w:rsidRDefault="00A52A9A" w:rsidP="00A52A9A">
            <w:pPr>
              <w:pStyle w:val="TableContents"/>
              <w:numPr>
                <w:ilvl w:val="0"/>
                <w:numId w:val="5"/>
              </w:numPr>
              <w:tabs>
                <w:tab w:val="clear" w:pos="707"/>
                <w:tab w:val="left" w:pos="457"/>
              </w:tabs>
              <w:ind w:left="457"/>
              <w:jc w:val="both"/>
              <w:rPr>
                <w:sz w:val="20"/>
                <w:szCs w:val="20"/>
              </w:rPr>
            </w:pPr>
            <w:r w:rsidRPr="00696597">
              <w:rPr>
                <w:sz w:val="20"/>
                <w:szCs w:val="20"/>
              </w:rPr>
              <w:t xml:space="preserve">Во месец декември 2022 година завршниот предлог текст на правилникот е доставен на разгледување. </w:t>
            </w:r>
          </w:p>
        </w:tc>
      </w:tr>
      <w:tr w:rsidR="00A52A9A" w14:paraId="13778B2A"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6D414157" w14:textId="77777777" w:rsidR="00A52A9A" w:rsidRDefault="00A52A9A" w:rsidP="00A86A0C">
            <w:pPr>
              <w:pStyle w:val="TableContents"/>
              <w:spacing w:after="0"/>
              <w:jc w:val="both"/>
            </w:pPr>
            <w:r>
              <w:rPr>
                <w:b/>
                <w:sz w:val="20"/>
              </w:rPr>
              <w:lastRenderedPageBreak/>
              <w:t>4.3.5 Посебна евиденција и објавување на податоци за поднесени и повлечени предлози за кривичното дело телесна повреда (чл.130 ст.2); Посебна евиденција и објавување на податоци во однос на изречена и спроведена итна мерка за заштита „отстранување на насилникот од домот и забрана за приближување“</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7B7489CF" w14:textId="77777777" w:rsidR="00A52A9A" w:rsidRPr="00696597" w:rsidRDefault="00A52A9A" w:rsidP="00A86A0C">
            <w:pPr>
              <w:pStyle w:val="TableContents"/>
              <w:ind w:left="316"/>
              <w:jc w:val="both"/>
              <w:rPr>
                <w:sz w:val="20"/>
                <w:szCs w:val="20"/>
              </w:rPr>
            </w:pPr>
            <w:r w:rsidRPr="00696597">
              <w:rPr>
                <w:sz w:val="20"/>
                <w:szCs w:val="20"/>
              </w:rPr>
              <w:t>1. Министерството за внатрешни работи согласно најавата, во месец мај 2022 година започна повторно да објавува податоци за семејно насилство, започнувајќи од периодот јануари – март 2022 година. Објавените податоци се водат согласно постојните правилници на локацијата</w:t>
            </w:r>
            <w:r>
              <w:t xml:space="preserve"> </w:t>
            </w:r>
            <w:hyperlink r:id="rId32" w:history="1">
              <w:r w:rsidRPr="00356237">
                <w:rPr>
                  <w:rStyle w:val="Hyperlink"/>
                  <w:sz w:val="20"/>
                  <w:szCs w:val="20"/>
                </w:rPr>
                <w:t>https://www.data.gov.mk/dataset/https-mvr-gov-mk</w:t>
              </w:r>
            </w:hyperlink>
            <w:r>
              <w:t xml:space="preserve">, </w:t>
            </w:r>
            <w:r w:rsidRPr="00696597">
              <w:rPr>
                <w:sz w:val="20"/>
                <w:szCs w:val="20"/>
              </w:rPr>
              <w:t>каде се достапни до јавноста.</w:t>
            </w:r>
          </w:p>
          <w:p w14:paraId="40D7B6EC" w14:textId="77777777" w:rsidR="00A52A9A" w:rsidRPr="00696597" w:rsidRDefault="00A52A9A" w:rsidP="00A86A0C">
            <w:pPr>
              <w:pStyle w:val="TableContents"/>
              <w:ind w:left="316"/>
              <w:jc w:val="both"/>
              <w:rPr>
                <w:sz w:val="20"/>
                <w:szCs w:val="20"/>
              </w:rPr>
            </w:pPr>
            <w:r w:rsidRPr="00696597">
              <w:rPr>
                <w:sz w:val="20"/>
                <w:szCs w:val="20"/>
              </w:rPr>
              <w:t>2. Во насока на реализација на ова активност, надлежната организациска единица на МВР започна со објавување на податоците за семејно насилство и на интернет страната на МВР (и на https://www.data.gov.mk.). Објавените податоци се водат  согласно постојните обрасци се додека не се ревидираат обрасците за собирање  на податоци.</w:t>
            </w:r>
          </w:p>
          <w:p w14:paraId="2E9144CA" w14:textId="77777777" w:rsidR="00A52A9A" w:rsidRPr="00696597" w:rsidRDefault="00A52A9A" w:rsidP="00A86A0C">
            <w:pPr>
              <w:pStyle w:val="TableContents"/>
              <w:ind w:left="316"/>
              <w:jc w:val="both"/>
              <w:rPr>
                <w:sz w:val="20"/>
                <w:szCs w:val="20"/>
              </w:rPr>
            </w:pPr>
            <w:r w:rsidRPr="00696597">
              <w:rPr>
                <w:sz w:val="20"/>
                <w:szCs w:val="20"/>
              </w:rPr>
              <w:t>За првата половина на 2022 година МВР ги бележи следените податоци :</w:t>
            </w:r>
          </w:p>
          <w:p w14:paraId="1608D70C" w14:textId="77777777" w:rsidR="00A52A9A" w:rsidRPr="00696597" w:rsidRDefault="00A52A9A" w:rsidP="00A52A9A">
            <w:pPr>
              <w:pStyle w:val="TableContents"/>
              <w:numPr>
                <w:ilvl w:val="0"/>
                <w:numId w:val="6"/>
              </w:numPr>
              <w:tabs>
                <w:tab w:val="left" w:pos="707"/>
              </w:tabs>
              <w:spacing w:after="0"/>
              <w:jc w:val="both"/>
              <w:rPr>
                <w:sz w:val="20"/>
                <w:szCs w:val="20"/>
              </w:rPr>
            </w:pPr>
            <w:r w:rsidRPr="00696597">
              <w:rPr>
                <w:sz w:val="20"/>
                <w:szCs w:val="20"/>
              </w:rPr>
              <w:t xml:space="preserve">502 кривични дела, (вкупен број сторители 515 и вкупен број на жртви 530) од кои 319 кривични дела телесна повреда(чл.130 ст.2) </w:t>
            </w:r>
          </w:p>
          <w:p w14:paraId="6C2E9CC8" w14:textId="77777777" w:rsidR="00A52A9A" w:rsidRPr="00696597" w:rsidRDefault="00A52A9A" w:rsidP="00A52A9A">
            <w:pPr>
              <w:pStyle w:val="TableContents"/>
              <w:numPr>
                <w:ilvl w:val="0"/>
                <w:numId w:val="6"/>
              </w:numPr>
              <w:tabs>
                <w:tab w:val="left" w:pos="707"/>
              </w:tabs>
              <w:spacing w:after="0"/>
              <w:jc w:val="both"/>
              <w:rPr>
                <w:sz w:val="20"/>
                <w:szCs w:val="20"/>
              </w:rPr>
            </w:pPr>
            <w:r w:rsidRPr="00696597">
              <w:rPr>
                <w:sz w:val="20"/>
                <w:szCs w:val="20"/>
              </w:rPr>
              <w:t xml:space="preserve">208 прекршок (вкупен број сторители 226 и вкупен број на жртви 130) и </w:t>
            </w:r>
          </w:p>
          <w:p w14:paraId="5341920D" w14:textId="77777777" w:rsidR="00A52A9A" w:rsidRPr="00696597" w:rsidRDefault="00A52A9A" w:rsidP="00A52A9A">
            <w:pPr>
              <w:pStyle w:val="TableContents"/>
              <w:numPr>
                <w:ilvl w:val="0"/>
                <w:numId w:val="6"/>
              </w:numPr>
              <w:tabs>
                <w:tab w:val="left" w:pos="707"/>
              </w:tabs>
              <w:jc w:val="both"/>
              <w:rPr>
                <w:sz w:val="20"/>
                <w:szCs w:val="20"/>
              </w:rPr>
            </w:pPr>
            <w:r w:rsidRPr="00696597">
              <w:rPr>
                <w:sz w:val="20"/>
                <w:szCs w:val="20"/>
              </w:rPr>
              <w:t xml:space="preserve">1928 поплаки (вкупен број сторители 1950 и вкупен број на жртви 1946) </w:t>
            </w:r>
          </w:p>
          <w:p w14:paraId="158CDE0F" w14:textId="77777777" w:rsidR="00A52A9A" w:rsidRPr="00696597" w:rsidRDefault="00A52A9A" w:rsidP="00A86A0C">
            <w:pPr>
              <w:pStyle w:val="TableContents"/>
              <w:jc w:val="both"/>
              <w:rPr>
                <w:sz w:val="20"/>
                <w:szCs w:val="20"/>
              </w:rPr>
            </w:pPr>
            <w:r w:rsidRPr="00696597">
              <w:rPr>
                <w:sz w:val="20"/>
                <w:szCs w:val="20"/>
              </w:rPr>
              <w:lastRenderedPageBreak/>
              <w:t>Со ова, заложбата делумно е постигната, активностите на работната група за подготовка на новите подзаконски акти со кои се зголемува обемот на овие податоци согласно потребите и законот продолжуваат до нивното донесување.</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5240"/>
            </w:tblGrid>
            <w:tr w:rsidR="00A52A9A" w:rsidRPr="00696597" w14:paraId="34C2B101" w14:textId="77777777" w:rsidTr="00A86A0C">
              <w:tc>
                <w:tcPr>
                  <w:tcW w:w="5240" w:type="dxa"/>
                  <w:shd w:val="clear" w:color="auto" w:fill="auto"/>
                  <w:vAlign w:val="center"/>
                </w:tcPr>
                <w:p w14:paraId="582F970D" w14:textId="77777777" w:rsidR="00A52A9A" w:rsidRPr="00696597" w:rsidRDefault="00A52A9A" w:rsidP="00A86A0C">
                  <w:pPr>
                    <w:pStyle w:val="TableContents"/>
                    <w:jc w:val="both"/>
                    <w:rPr>
                      <w:sz w:val="20"/>
                      <w:szCs w:val="20"/>
                    </w:rPr>
                  </w:pPr>
                  <w:r w:rsidRPr="00696597">
                    <w:rPr>
                      <w:sz w:val="20"/>
                      <w:szCs w:val="20"/>
                    </w:rPr>
                    <w:t>Посебна  евиденција и објавување на податоци во однос на изречена и спроведена итна мерка за заштита „отстранување на насилникот од домот и забрана  на приближување“ се уште не е воспоставена во рамки на министерството.</w:t>
                  </w:r>
                </w:p>
              </w:tc>
            </w:tr>
          </w:tbl>
          <w:p w14:paraId="2C0D40B1" w14:textId="77777777" w:rsidR="00A52A9A" w:rsidRDefault="00A52A9A" w:rsidP="00A86A0C">
            <w:pPr>
              <w:pStyle w:val="TableContents"/>
              <w:jc w:val="both"/>
            </w:pPr>
          </w:p>
        </w:tc>
      </w:tr>
      <w:tr w:rsidR="00A52A9A" w14:paraId="5D03D8A4"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6C227AF5" w14:textId="77777777" w:rsidR="00A52A9A" w:rsidRDefault="00A52A9A" w:rsidP="00A86A0C">
            <w:pPr>
              <w:pStyle w:val="TableContents"/>
              <w:spacing w:after="0"/>
              <w:jc w:val="both"/>
            </w:pPr>
            <w:r>
              <w:rPr>
                <w:b/>
                <w:sz w:val="20"/>
              </w:rPr>
              <w:lastRenderedPageBreak/>
              <w:t xml:space="preserve">4.3.6 Организирање на работни средби и координација со МВР, МП и МЗ за подготовка на образец за собирање и квартално објавување на разделени податоци за семејното насилство од страна на ЦСР, вклучително и детални податоци за бројот на случаи каде што имало потреба, број на поднесени предлози за ПМЗ, број на предлози за изменување, укинување или продолжување на ПМЗ. </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01D40BC2" w14:textId="77777777" w:rsidR="00A52A9A" w:rsidRPr="00696597" w:rsidRDefault="00A52A9A" w:rsidP="00A52A9A">
            <w:pPr>
              <w:pStyle w:val="TableContents"/>
              <w:numPr>
                <w:ilvl w:val="0"/>
                <w:numId w:val="7"/>
              </w:numPr>
              <w:tabs>
                <w:tab w:val="clear" w:pos="707"/>
                <w:tab w:val="left" w:pos="316"/>
              </w:tabs>
              <w:spacing w:after="0"/>
              <w:ind w:left="316"/>
              <w:jc w:val="both"/>
              <w:rPr>
                <w:sz w:val="20"/>
                <w:szCs w:val="20"/>
              </w:rPr>
            </w:pPr>
            <w:r w:rsidRPr="00696597">
              <w:rPr>
                <w:sz w:val="20"/>
                <w:szCs w:val="20"/>
              </w:rPr>
              <w:t xml:space="preserve">Формирана е широка работна група и  3 подгрупи со претставници од надлежни институции , граѓанскиот сектор, МТСП како носител на законот е координатор на активностите кои се преземаат со цел усогласување на начинот на собирање на податоците. </w:t>
            </w:r>
          </w:p>
          <w:p w14:paraId="3ED3C39B" w14:textId="77777777" w:rsidR="00A52A9A" w:rsidRDefault="00A52A9A" w:rsidP="00A52A9A">
            <w:pPr>
              <w:pStyle w:val="TableContents"/>
              <w:numPr>
                <w:ilvl w:val="0"/>
                <w:numId w:val="7"/>
              </w:numPr>
              <w:tabs>
                <w:tab w:val="clear" w:pos="707"/>
                <w:tab w:val="left" w:pos="316"/>
              </w:tabs>
              <w:ind w:left="316"/>
              <w:jc w:val="both"/>
            </w:pPr>
            <w:r w:rsidRPr="00696597">
              <w:rPr>
                <w:sz w:val="20"/>
                <w:szCs w:val="20"/>
              </w:rPr>
              <w:t>Ангажирани се експерти преку проект поддржан од UNPFA со цел зајакнување со управување со податоците</w:t>
            </w:r>
            <w:r>
              <w:t xml:space="preserve"> </w:t>
            </w:r>
            <w:hyperlink r:id="rId33" w:history="1">
              <w:r w:rsidRPr="00356237">
                <w:rPr>
                  <w:rStyle w:val="Hyperlink"/>
                  <w:sz w:val="20"/>
                  <w:szCs w:val="20"/>
                </w:rPr>
                <w:t>https://www.mtsp.gov.mk/</w:t>
              </w:r>
            </w:hyperlink>
            <w:r>
              <w:t xml:space="preserve"> </w:t>
            </w:r>
          </w:p>
        </w:tc>
      </w:tr>
      <w:tr w:rsidR="00A52A9A" w14:paraId="5F181DC4"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779AF96C" w14:textId="77777777" w:rsidR="00A52A9A" w:rsidRDefault="00A52A9A" w:rsidP="00A86A0C">
            <w:pPr>
              <w:pStyle w:val="TableContents"/>
              <w:spacing w:after="0"/>
              <w:jc w:val="both"/>
            </w:pPr>
            <w:r>
              <w:rPr>
                <w:b/>
                <w:sz w:val="20"/>
              </w:rPr>
              <w:t xml:space="preserve">4.3.7 Посебна евиденција и квартално објавување на податоци за бројот на случаи на семејно насилство, како и детални податоци за бројот на предлози за изрекување, менување или укинување на ПМЗ </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0F5F8904" w14:textId="77777777" w:rsidR="00A52A9A" w:rsidRPr="00696597" w:rsidRDefault="00A52A9A" w:rsidP="00A52A9A">
            <w:pPr>
              <w:pStyle w:val="TableContents"/>
              <w:numPr>
                <w:ilvl w:val="0"/>
                <w:numId w:val="8"/>
              </w:numPr>
              <w:tabs>
                <w:tab w:val="clear" w:pos="707"/>
                <w:tab w:val="left" w:pos="316"/>
              </w:tabs>
              <w:ind w:left="316"/>
              <w:jc w:val="both"/>
              <w:rPr>
                <w:sz w:val="20"/>
                <w:szCs w:val="20"/>
              </w:rPr>
            </w:pPr>
            <w:r w:rsidRPr="00696597">
              <w:rPr>
                <w:sz w:val="20"/>
                <w:szCs w:val="20"/>
              </w:rPr>
              <w:t>МТСП води интерна квартална збирна статистика со следните белези: ново</w:t>
            </w:r>
            <w:r>
              <w:rPr>
                <w:sz w:val="20"/>
                <w:szCs w:val="20"/>
              </w:rPr>
              <w:t xml:space="preserve"> </w:t>
            </w:r>
            <w:r w:rsidRPr="00696597">
              <w:rPr>
                <w:sz w:val="20"/>
                <w:szCs w:val="20"/>
              </w:rPr>
              <w:t>евидентирани жртви на СН, пол, возраст, тип на насилство, доставени барања за ПНЗ до суд, изречени ПНЗ од суд, кои ќе бидат разгледани и за новите евиденции согласно новите подзаконски акти</w:t>
            </w:r>
            <w:r>
              <w:rPr>
                <w:sz w:val="20"/>
                <w:szCs w:val="20"/>
              </w:rPr>
              <w:t>.</w:t>
            </w:r>
          </w:p>
        </w:tc>
      </w:tr>
      <w:tr w:rsidR="00A52A9A" w14:paraId="0E36A04F"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3B3AD4B3" w14:textId="77777777" w:rsidR="00A52A9A" w:rsidRDefault="00A52A9A" w:rsidP="00A86A0C">
            <w:pPr>
              <w:pStyle w:val="TableContents"/>
              <w:spacing w:after="0"/>
              <w:jc w:val="both"/>
            </w:pPr>
            <w:r>
              <w:rPr>
                <w:b/>
                <w:sz w:val="20"/>
              </w:rPr>
              <w:t xml:space="preserve">4.3.8 Донесување на насоки за задолжително редовно објавување на податоци за семејното насилство од страна на полиција и ЦСР </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5AFEB177" w14:textId="77777777" w:rsidR="00A52A9A" w:rsidRPr="00696597" w:rsidRDefault="00A52A9A" w:rsidP="00A52A9A">
            <w:pPr>
              <w:pStyle w:val="TableContents"/>
              <w:numPr>
                <w:ilvl w:val="0"/>
                <w:numId w:val="9"/>
              </w:numPr>
              <w:tabs>
                <w:tab w:val="clear" w:pos="707"/>
                <w:tab w:val="left" w:pos="316"/>
              </w:tabs>
              <w:spacing w:after="0"/>
              <w:ind w:left="316"/>
              <w:jc w:val="both"/>
              <w:rPr>
                <w:sz w:val="20"/>
                <w:szCs w:val="20"/>
              </w:rPr>
            </w:pPr>
            <w:r w:rsidRPr="00696597">
              <w:rPr>
                <w:sz w:val="20"/>
                <w:szCs w:val="20"/>
              </w:rPr>
              <w:t xml:space="preserve">Процесот е поврзан со донесување на подзаконските акти согласно активностите од 4.3.4, 4.3.6 и 4.3.1 </w:t>
            </w:r>
          </w:p>
          <w:p w14:paraId="77EB0548" w14:textId="77777777" w:rsidR="00A52A9A" w:rsidRPr="00696597" w:rsidRDefault="00A52A9A" w:rsidP="00A52A9A">
            <w:pPr>
              <w:pStyle w:val="TableContents"/>
              <w:numPr>
                <w:ilvl w:val="0"/>
                <w:numId w:val="9"/>
              </w:numPr>
              <w:tabs>
                <w:tab w:val="clear" w:pos="707"/>
                <w:tab w:val="left" w:pos="316"/>
              </w:tabs>
              <w:ind w:left="316"/>
              <w:jc w:val="both"/>
              <w:rPr>
                <w:sz w:val="20"/>
                <w:szCs w:val="20"/>
              </w:rPr>
            </w:pPr>
            <w:r w:rsidRPr="00696597">
              <w:rPr>
                <w:sz w:val="20"/>
                <w:szCs w:val="20"/>
              </w:rPr>
              <w:t xml:space="preserve">Подготвен е протокол, кој во месец декември 2022 е во фаза пред донесување. </w:t>
            </w:r>
          </w:p>
        </w:tc>
      </w:tr>
      <w:tr w:rsidR="00A52A9A" w14:paraId="6B653BAB"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60B0A1A2" w14:textId="77777777" w:rsidR="00A52A9A" w:rsidRDefault="00A52A9A" w:rsidP="00A86A0C">
            <w:pPr>
              <w:pStyle w:val="TableContents"/>
              <w:spacing w:after="0"/>
              <w:jc w:val="both"/>
            </w:pPr>
            <w:r>
              <w:rPr>
                <w:b/>
                <w:sz w:val="20"/>
              </w:rPr>
              <w:t>4.3.9 Креирање на електронски систем за собирање и размена на податоци од страна на ЦСР, судови, полиција и здравствени установи, во однос на привремени мерки за заштита од семејно насилство.</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7335A0C3" w14:textId="77777777" w:rsidR="00A52A9A" w:rsidRPr="00142F34" w:rsidRDefault="00A52A9A" w:rsidP="00A86A0C">
            <w:pPr>
              <w:pStyle w:val="TableContents"/>
              <w:jc w:val="both"/>
              <w:rPr>
                <w:sz w:val="20"/>
                <w:szCs w:val="20"/>
              </w:rPr>
            </w:pPr>
            <w:r w:rsidRPr="00696597">
              <w:rPr>
                <w:sz w:val="20"/>
                <w:szCs w:val="20"/>
              </w:rPr>
              <w:t xml:space="preserve">Електронскиот систем треба да се овозможи откако ќе заврши процесот на претходните активностите од заложбата. По донесувањето на подзаконските акти и воспоставувањето и спроведувањето на евиденциите во соодветни обрасци преку кои се собираат исти податоци во повеќе институции, со цел нивна размена треба да се креира решение со кое ќе </w:t>
            </w:r>
            <w:r w:rsidRPr="00696597">
              <w:rPr>
                <w:sz w:val="20"/>
                <w:szCs w:val="20"/>
              </w:rPr>
              <w:lastRenderedPageBreak/>
              <w:t>се овозможи лесно и ефикасно електронско собирање на податоците.</w:t>
            </w:r>
          </w:p>
        </w:tc>
      </w:tr>
      <w:tr w:rsidR="00A52A9A" w14:paraId="458A5051"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25AEFF71" w14:textId="77777777" w:rsidR="00A52A9A" w:rsidRDefault="00A52A9A" w:rsidP="00A86A0C">
            <w:pPr>
              <w:pStyle w:val="TableContents"/>
              <w:jc w:val="center"/>
            </w:pPr>
            <w:r>
              <w:rPr>
                <w:b/>
                <w:sz w:val="20"/>
              </w:rPr>
              <w:lastRenderedPageBreak/>
              <w:t>4.4 Правно зајакнување на граѓаните преку достапни информации и отворени институции</w:t>
            </w:r>
          </w:p>
        </w:tc>
      </w:tr>
      <w:tr w:rsidR="00A52A9A" w14:paraId="0F0E5F21"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66380B17"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01.10.2021-31.08.2023</w:t>
            </w:r>
          </w:p>
        </w:tc>
      </w:tr>
      <w:tr w:rsidR="00A52A9A" w14:paraId="0BB51984"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FFFFFF"/>
          </w:tcPr>
          <w:p w14:paraId="35642C70"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DEEAF6"/>
          </w:tcPr>
          <w:p w14:paraId="5F09880C" w14:textId="77777777" w:rsidR="00A52A9A" w:rsidRPr="00142F34" w:rsidRDefault="00A52A9A" w:rsidP="00A86A0C">
            <w:pPr>
              <w:pStyle w:val="TableContents"/>
              <w:jc w:val="center"/>
              <w:rPr>
                <w:sz w:val="20"/>
                <w:szCs w:val="20"/>
              </w:rPr>
            </w:pPr>
            <w:r w:rsidRPr="00142F34">
              <w:rPr>
                <w:sz w:val="20"/>
                <w:szCs w:val="20"/>
              </w:rPr>
              <w:t>Министерство за правда</w:t>
            </w:r>
          </w:p>
        </w:tc>
      </w:tr>
      <w:tr w:rsidR="00A52A9A" w14:paraId="39EB13FB" w14:textId="77777777" w:rsidTr="00A86A0C">
        <w:tblPrEx>
          <w:tblCellMar>
            <w:left w:w="115" w:type="dxa"/>
            <w:right w:w="115" w:type="dxa"/>
          </w:tblCellMar>
        </w:tblPrEx>
        <w:tc>
          <w:tcPr>
            <w:tcW w:w="4049" w:type="dxa"/>
            <w:gridSpan w:val="2"/>
            <w:vMerge w:val="restart"/>
            <w:tcBorders>
              <w:top w:val="single" w:sz="8" w:space="0" w:color="000001"/>
              <w:left w:val="single" w:sz="8" w:space="0" w:color="000001"/>
              <w:right w:val="single" w:sz="8" w:space="0" w:color="000001"/>
            </w:tcBorders>
            <w:shd w:val="clear" w:color="auto" w:fill="FFFFFF"/>
            <w:vAlign w:val="center"/>
          </w:tcPr>
          <w:p w14:paraId="3DA098AC" w14:textId="77777777" w:rsidR="00A52A9A" w:rsidRDefault="00A52A9A" w:rsidP="00A86A0C">
            <w:pPr>
              <w:pStyle w:val="TableContents"/>
              <w:spacing w:after="0"/>
              <w:jc w:val="center"/>
            </w:pPr>
            <w:r>
              <w:rPr>
                <w:b/>
                <w:sz w:val="20"/>
              </w:rPr>
              <w:t>Статус на реализација на заложбата</w:t>
            </w:r>
          </w:p>
          <w:p w14:paraId="550DCF68"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DDAA938" w14:textId="77777777" w:rsidR="00A52A9A" w:rsidRPr="00C631BF" w:rsidRDefault="00A52A9A" w:rsidP="00A86A0C">
            <w:pPr>
              <w:pStyle w:val="TableContents"/>
              <w:jc w:val="center"/>
              <w:rPr>
                <w:sz w:val="17"/>
                <w:szCs w:val="17"/>
              </w:rPr>
            </w:pPr>
            <w:proofErr w:type="spellStart"/>
            <w:r w:rsidRPr="00C631BF">
              <w:rPr>
                <w:b/>
                <w:color w:val="000000"/>
                <w:sz w:val="17"/>
                <w:szCs w:val="17"/>
              </w:rPr>
              <w:t>незапочнато</w:t>
            </w:r>
            <w:proofErr w:type="spellEnd"/>
          </w:p>
        </w:tc>
        <w:tc>
          <w:tcPr>
            <w:tcW w:w="1363"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189A740E" w14:textId="77777777" w:rsidR="00A52A9A" w:rsidRDefault="00A52A9A" w:rsidP="00A86A0C">
            <w:pPr>
              <w:pStyle w:val="TableContents"/>
              <w:jc w:val="center"/>
            </w:pPr>
            <w:r>
              <w:rPr>
                <w:b/>
                <w:color w:val="000000"/>
                <w:sz w:val="18"/>
              </w:rPr>
              <w:t>ограничено</w:t>
            </w:r>
          </w:p>
        </w:tc>
        <w:tc>
          <w:tcPr>
            <w:tcW w:w="1377"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78630517" w14:textId="77777777" w:rsidR="00A52A9A" w:rsidRDefault="00A52A9A" w:rsidP="00A86A0C">
            <w:pPr>
              <w:pStyle w:val="TableContents"/>
              <w:jc w:val="center"/>
            </w:pPr>
            <w:r>
              <w:rPr>
                <w:b/>
                <w:color w:val="000000"/>
                <w:sz w:val="18"/>
              </w:rPr>
              <w:t>значително</w:t>
            </w:r>
          </w:p>
        </w:tc>
        <w:tc>
          <w:tcPr>
            <w:tcW w:w="119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9C7328D" w14:textId="77777777" w:rsidR="00A52A9A" w:rsidRDefault="00A52A9A" w:rsidP="00A86A0C">
            <w:pPr>
              <w:pStyle w:val="TableContents"/>
              <w:jc w:val="center"/>
            </w:pPr>
            <w:r>
              <w:rPr>
                <w:b/>
                <w:color w:val="000000"/>
                <w:sz w:val="18"/>
              </w:rPr>
              <w:t>завршено</w:t>
            </w:r>
          </w:p>
        </w:tc>
      </w:tr>
      <w:tr w:rsidR="00A52A9A" w14:paraId="44BB8398" w14:textId="77777777" w:rsidTr="00A86A0C">
        <w:tblPrEx>
          <w:tblCellMar>
            <w:left w:w="115" w:type="dxa"/>
            <w:right w:w="115" w:type="dxa"/>
          </w:tblCellMar>
        </w:tblPrEx>
        <w:tc>
          <w:tcPr>
            <w:tcW w:w="4049" w:type="dxa"/>
            <w:gridSpan w:val="2"/>
            <w:vMerge/>
            <w:tcBorders>
              <w:top w:val="single" w:sz="8" w:space="0" w:color="000001"/>
              <w:left w:val="single" w:sz="8" w:space="0" w:color="000001"/>
              <w:right w:val="single" w:sz="8" w:space="0" w:color="000001"/>
            </w:tcBorders>
            <w:shd w:val="clear" w:color="auto" w:fill="FFFFFF"/>
            <w:vAlign w:val="center"/>
          </w:tcPr>
          <w:p w14:paraId="0A6A45F9"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2A0B275E" w14:textId="77777777" w:rsidR="00A52A9A" w:rsidRDefault="00A52A9A" w:rsidP="00A86A0C">
            <w:pPr>
              <w:pStyle w:val="TableContents"/>
              <w:jc w:val="both"/>
            </w:pPr>
          </w:p>
        </w:tc>
        <w:tc>
          <w:tcPr>
            <w:tcW w:w="1363"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08F206B0" w14:textId="77777777" w:rsidR="00A52A9A" w:rsidRDefault="00A52A9A" w:rsidP="00A86A0C">
            <w:pPr>
              <w:pStyle w:val="TableContents"/>
              <w:jc w:val="both"/>
            </w:pPr>
          </w:p>
        </w:tc>
        <w:tc>
          <w:tcPr>
            <w:tcW w:w="1377"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7F730A1" w14:textId="77777777" w:rsidR="00A52A9A" w:rsidRDefault="00A52A9A" w:rsidP="00A86A0C">
            <w:pPr>
              <w:pStyle w:val="TableContents"/>
              <w:jc w:val="both"/>
            </w:pPr>
          </w:p>
        </w:tc>
        <w:tc>
          <w:tcPr>
            <w:tcW w:w="119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71116E25" w14:textId="77777777" w:rsidR="00A52A9A" w:rsidRDefault="00A52A9A" w:rsidP="00A86A0C">
            <w:pPr>
              <w:pStyle w:val="TableContents"/>
              <w:jc w:val="both"/>
            </w:pPr>
          </w:p>
        </w:tc>
      </w:tr>
      <w:tr w:rsidR="00A52A9A" w14:paraId="06253AFD"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BDD6EE"/>
          </w:tcPr>
          <w:p w14:paraId="68B42553" w14:textId="77777777" w:rsidR="00A52A9A" w:rsidRDefault="00A52A9A" w:rsidP="00A86A0C">
            <w:pPr>
              <w:pStyle w:val="TableContents"/>
              <w:jc w:val="center"/>
            </w:pPr>
            <w:r>
              <w:rPr>
                <w:b/>
                <w:sz w:val="20"/>
              </w:rPr>
              <w:t>Достигнувања</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BDD6EE"/>
          </w:tcPr>
          <w:p w14:paraId="6208C973"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5AB38848"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5D54B933" w14:textId="77777777" w:rsidR="00A52A9A" w:rsidRDefault="00A52A9A" w:rsidP="00A86A0C">
            <w:pPr>
              <w:pStyle w:val="TableContents"/>
              <w:spacing w:after="0"/>
              <w:jc w:val="both"/>
            </w:pPr>
            <w:r>
              <w:rPr>
                <w:b/>
                <w:sz w:val="20"/>
              </w:rPr>
              <w:t>4.4.1 Измена и дополнување на Закон за Бесплатна правна помош во одредбите 13, 38, 49</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1651C9B3" w14:textId="77777777" w:rsidR="00A52A9A" w:rsidRDefault="00A52A9A" w:rsidP="00A86A0C">
            <w:pPr>
              <w:pStyle w:val="TableContents"/>
              <w:jc w:val="both"/>
            </w:pPr>
          </w:p>
        </w:tc>
      </w:tr>
      <w:tr w:rsidR="00A52A9A" w14:paraId="15A5ED26"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34800B19" w14:textId="77777777" w:rsidR="00A52A9A" w:rsidRDefault="00A52A9A" w:rsidP="00A86A0C">
            <w:pPr>
              <w:pStyle w:val="TableContents"/>
              <w:spacing w:after="0"/>
              <w:jc w:val="both"/>
            </w:pPr>
            <w:r>
              <w:rPr>
                <w:b/>
                <w:sz w:val="20"/>
              </w:rPr>
              <w:t>4.4.2 Договори за соработка меѓу Биро за судски вештачења и други надворешни овластени вештаци од областа на геодезија и молекуларна биологија</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2F3688DD" w14:textId="77777777" w:rsidR="00A52A9A" w:rsidRPr="00696597" w:rsidRDefault="00A52A9A" w:rsidP="00A86A0C">
            <w:pPr>
              <w:pStyle w:val="TableContents"/>
              <w:jc w:val="both"/>
              <w:rPr>
                <w:sz w:val="20"/>
                <w:szCs w:val="20"/>
              </w:rPr>
            </w:pPr>
            <w:r w:rsidRPr="00696597">
              <w:rPr>
                <w:sz w:val="20"/>
                <w:szCs w:val="20"/>
              </w:rPr>
              <w:t xml:space="preserve">Во владина постапка е пуштен </w:t>
            </w:r>
            <w:proofErr w:type="spellStart"/>
            <w:r w:rsidRPr="00696597">
              <w:rPr>
                <w:sz w:val="20"/>
                <w:szCs w:val="20"/>
              </w:rPr>
              <w:t>предлог-Закон</w:t>
            </w:r>
            <w:proofErr w:type="spellEnd"/>
            <w:r w:rsidRPr="00696597">
              <w:rPr>
                <w:sz w:val="20"/>
                <w:szCs w:val="20"/>
              </w:rPr>
              <w:t xml:space="preserve"> за вешта</w:t>
            </w:r>
            <w:r>
              <w:rPr>
                <w:sz w:val="20"/>
                <w:szCs w:val="20"/>
              </w:rPr>
              <w:t>че</w:t>
            </w:r>
            <w:r w:rsidRPr="00696597">
              <w:rPr>
                <w:sz w:val="20"/>
                <w:szCs w:val="20"/>
              </w:rPr>
              <w:t>ње, кој би требало до крајот на годината (2022) да се донесе во Собранието на РСМ. Со предлог законот е превидено да се укине Бирото за судско вештачење.</w:t>
            </w:r>
          </w:p>
          <w:p w14:paraId="5A2D4466" w14:textId="77777777" w:rsidR="00A52A9A" w:rsidRDefault="00A52A9A" w:rsidP="00A86A0C">
            <w:pPr>
              <w:pStyle w:val="TableContents"/>
              <w:jc w:val="both"/>
            </w:pPr>
          </w:p>
        </w:tc>
      </w:tr>
      <w:tr w:rsidR="00A52A9A" w14:paraId="0095624C"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19879A75" w14:textId="77777777" w:rsidR="00A52A9A" w:rsidRDefault="00A52A9A" w:rsidP="00A86A0C">
            <w:pPr>
              <w:pStyle w:val="TableContents"/>
              <w:spacing w:after="0"/>
              <w:jc w:val="both"/>
            </w:pPr>
            <w:r>
              <w:rPr>
                <w:b/>
                <w:sz w:val="20"/>
              </w:rPr>
              <w:t>4.4.3 Информативни сесии за потребата од вештачење во области кои го засегаат пристапот до правда за слабо имотно население со Министерство за правда, БСВ, адвокатска комора, други институции кои изготвуваат вештачења</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023D3135" w14:textId="77777777" w:rsidR="00A52A9A" w:rsidRDefault="00A52A9A" w:rsidP="00A86A0C">
            <w:pPr>
              <w:pStyle w:val="TableContents"/>
              <w:jc w:val="both"/>
            </w:pPr>
          </w:p>
        </w:tc>
      </w:tr>
      <w:tr w:rsidR="00A52A9A" w14:paraId="771D4162"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7DE8BF3F" w14:textId="77777777" w:rsidR="00A52A9A" w:rsidRDefault="00A52A9A" w:rsidP="00A86A0C">
            <w:pPr>
              <w:pStyle w:val="TableContents"/>
              <w:spacing w:after="0"/>
              <w:jc w:val="both"/>
            </w:pPr>
            <w:r>
              <w:rPr>
                <w:b/>
                <w:sz w:val="20"/>
              </w:rPr>
              <w:t xml:space="preserve">4.4.4 Изработка на интерни упатства (или алтернативно, Меморандум помеѓу МП и БСВ) за постапување во случај на потреба од вештачења кога е одобрена секундарна правна помош </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64FDC937" w14:textId="77777777" w:rsidR="00A52A9A" w:rsidRDefault="00A52A9A" w:rsidP="00A86A0C">
            <w:pPr>
              <w:pStyle w:val="TableContents"/>
              <w:jc w:val="both"/>
            </w:pPr>
          </w:p>
        </w:tc>
      </w:tr>
      <w:tr w:rsidR="00A52A9A" w14:paraId="4AD77E65"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386236DA" w14:textId="77777777" w:rsidR="00A52A9A" w:rsidRDefault="00A52A9A" w:rsidP="00A86A0C">
            <w:pPr>
              <w:pStyle w:val="TableContents"/>
              <w:spacing w:after="0"/>
              <w:jc w:val="both"/>
            </w:pPr>
            <w:r>
              <w:rPr>
                <w:b/>
                <w:sz w:val="20"/>
              </w:rPr>
              <w:t xml:space="preserve">4.4.5 Анализа со краткорочни препораки (за моментално итно решавање на проблемот со вештачењето и одглавување на </w:t>
            </w:r>
            <w:r>
              <w:rPr>
                <w:b/>
                <w:sz w:val="20"/>
              </w:rPr>
              <w:lastRenderedPageBreak/>
              <w:t>предметите кои што моментално се заглавени поради тоа) и долгорочни препораки (законски измени кои што на долг рок ќе го решат проблемот со вештачењето)</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2ADF128D" w14:textId="77777777" w:rsidR="00A52A9A" w:rsidRDefault="00A52A9A" w:rsidP="00A86A0C">
            <w:pPr>
              <w:pStyle w:val="TableContents"/>
              <w:jc w:val="both"/>
            </w:pPr>
          </w:p>
        </w:tc>
      </w:tr>
      <w:tr w:rsidR="00A52A9A" w14:paraId="72FF72DD"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4818B3FF" w14:textId="77777777" w:rsidR="00A52A9A" w:rsidRDefault="00A52A9A" w:rsidP="00A86A0C">
            <w:pPr>
              <w:pStyle w:val="TableContents"/>
              <w:spacing w:after="0"/>
              <w:jc w:val="both"/>
            </w:pPr>
            <w:r>
              <w:rPr>
                <w:b/>
                <w:sz w:val="20"/>
              </w:rPr>
              <w:t>4.4.6 Креирање и одржување на сеопфатен јавно достапен регистар на вештаци за областите од интерес на БПП</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76BE062A" w14:textId="77777777" w:rsidR="00A52A9A" w:rsidRPr="00696597" w:rsidRDefault="00A52A9A" w:rsidP="00A86A0C">
            <w:pPr>
              <w:pStyle w:val="TableContents"/>
              <w:jc w:val="both"/>
              <w:rPr>
                <w:sz w:val="20"/>
                <w:szCs w:val="20"/>
              </w:rPr>
            </w:pPr>
            <w:r w:rsidRPr="00696597">
              <w:rPr>
                <w:sz w:val="20"/>
                <w:szCs w:val="20"/>
              </w:rPr>
              <w:t>Со донесување на новиот Закон за вешта</w:t>
            </w:r>
            <w:r>
              <w:rPr>
                <w:sz w:val="20"/>
                <w:szCs w:val="20"/>
              </w:rPr>
              <w:t>че</w:t>
            </w:r>
            <w:r w:rsidRPr="00696597">
              <w:rPr>
                <w:sz w:val="20"/>
                <w:szCs w:val="20"/>
              </w:rPr>
              <w:t>ње, ќе се достигне оваа активност.</w:t>
            </w:r>
          </w:p>
        </w:tc>
      </w:tr>
      <w:tr w:rsidR="00A52A9A" w14:paraId="1C0C370E"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4CE680FF" w14:textId="77777777" w:rsidR="00A52A9A" w:rsidRDefault="00A52A9A" w:rsidP="00A86A0C">
            <w:pPr>
              <w:pStyle w:val="TableContents"/>
              <w:spacing w:after="0"/>
              <w:jc w:val="both"/>
            </w:pPr>
            <w:r>
              <w:rPr>
                <w:b/>
                <w:sz w:val="20"/>
              </w:rPr>
              <w:t>4.4.7 Обезбедување физичка пристапност и видливост на ЗБПП</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41EF8217" w14:textId="77777777" w:rsidR="00A52A9A" w:rsidRPr="00696597" w:rsidRDefault="00A52A9A" w:rsidP="00A86A0C">
            <w:pPr>
              <w:pStyle w:val="TableContents"/>
              <w:jc w:val="both"/>
              <w:rPr>
                <w:sz w:val="20"/>
                <w:szCs w:val="20"/>
              </w:rPr>
            </w:pPr>
            <w:r w:rsidRPr="00696597">
              <w:rPr>
                <w:sz w:val="20"/>
                <w:szCs w:val="20"/>
              </w:rPr>
              <w:t>Подрачните се видливи и пристапни и тоа со особена видливост и пристапност се 11 подрачни одделенија (Ресен, Берово, Мак.</w:t>
            </w:r>
            <w:r>
              <w:rPr>
                <w:sz w:val="20"/>
                <w:szCs w:val="20"/>
              </w:rPr>
              <w:t xml:space="preserve"> </w:t>
            </w:r>
            <w:r w:rsidRPr="00696597">
              <w:rPr>
                <w:sz w:val="20"/>
                <w:szCs w:val="20"/>
              </w:rPr>
              <w:t>Брод, Кавадарци, Кичево,</w:t>
            </w:r>
            <w:r>
              <w:rPr>
                <w:sz w:val="20"/>
                <w:szCs w:val="20"/>
              </w:rPr>
              <w:t xml:space="preserve"> </w:t>
            </w:r>
            <w:r w:rsidRPr="00696597">
              <w:rPr>
                <w:sz w:val="20"/>
                <w:szCs w:val="20"/>
              </w:rPr>
              <w:t>Свети Николе, Делчево, Демир хисар, Кочани Гази баба и Тетово).</w:t>
            </w:r>
          </w:p>
          <w:p w14:paraId="1C5E82D3" w14:textId="77777777" w:rsidR="00A52A9A" w:rsidRPr="00696597" w:rsidRDefault="00A52A9A" w:rsidP="00A86A0C">
            <w:pPr>
              <w:pStyle w:val="TableContents"/>
              <w:jc w:val="both"/>
              <w:rPr>
                <w:sz w:val="20"/>
                <w:szCs w:val="20"/>
              </w:rPr>
            </w:pPr>
            <w:r w:rsidRPr="00696597">
              <w:rPr>
                <w:sz w:val="20"/>
                <w:szCs w:val="20"/>
              </w:rPr>
              <w:t xml:space="preserve">Подрачните одделенија Охрид, Радовиш, Штип, Неготино ,Куманово, Виница, </w:t>
            </w:r>
            <w:r>
              <w:rPr>
                <w:sz w:val="20"/>
                <w:szCs w:val="20"/>
              </w:rPr>
              <w:t>Г</w:t>
            </w:r>
            <w:r w:rsidRPr="00696597">
              <w:rPr>
                <w:sz w:val="20"/>
                <w:szCs w:val="20"/>
              </w:rPr>
              <w:t>ев</w:t>
            </w:r>
            <w:r>
              <w:rPr>
                <w:sz w:val="20"/>
                <w:szCs w:val="20"/>
              </w:rPr>
              <w:t>г</w:t>
            </w:r>
            <w:r w:rsidRPr="00696597">
              <w:rPr>
                <w:sz w:val="20"/>
                <w:szCs w:val="20"/>
              </w:rPr>
              <w:t>елија, Гостивар, Кратово, Валандово, Прилеп, Битола и Пробиштип, (вкупно 13 подрачни одделенија) се со средна видливост и пристапност.</w:t>
            </w:r>
          </w:p>
          <w:p w14:paraId="70CDA3A7" w14:textId="77777777" w:rsidR="00A52A9A" w:rsidRPr="00696597" w:rsidRDefault="00A52A9A" w:rsidP="00A86A0C">
            <w:pPr>
              <w:pStyle w:val="TableContents"/>
              <w:jc w:val="both"/>
              <w:rPr>
                <w:sz w:val="20"/>
                <w:szCs w:val="20"/>
              </w:rPr>
            </w:pPr>
            <w:r w:rsidRPr="00696597">
              <w:rPr>
                <w:sz w:val="20"/>
                <w:szCs w:val="20"/>
              </w:rPr>
              <w:t>Подрачните одделенија Карпош, Струга, Крива Паланка, Струмица и Чаир (вкупно 5 подрачни одделенија) се со ниска видливост и пристапност.</w:t>
            </w:r>
          </w:p>
        </w:tc>
      </w:tr>
      <w:tr w:rsidR="00A52A9A" w14:paraId="396D2681"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1BA8D174" w14:textId="77777777" w:rsidR="00A52A9A" w:rsidRDefault="00A52A9A" w:rsidP="00A86A0C">
            <w:pPr>
              <w:pStyle w:val="TableContents"/>
              <w:spacing w:after="0"/>
              <w:jc w:val="both"/>
            </w:pPr>
            <w:r>
              <w:rPr>
                <w:b/>
                <w:sz w:val="20"/>
              </w:rPr>
              <w:t>4.4.8 Прилагодување на официјалната веб страна на Министерство за правда(или на https://pravnapomos.mk/) за непречено информирање во врска со ЗБПП (видливост и пристапност до информации за ЗБПП и ПО за лица со дислексија, лица со визуелна и аудитивна попреченост, како и за лица од етничките заедници)</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36781FEA" w14:textId="77777777" w:rsidR="00A52A9A" w:rsidRPr="00696597" w:rsidRDefault="00A52A9A" w:rsidP="00A86A0C">
            <w:pPr>
              <w:pStyle w:val="TableContents"/>
              <w:jc w:val="both"/>
              <w:rPr>
                <w:sz w:val="20"/>
                <w:szCs w:val="20"/>
              </w:rPr>
            </w:pPr>
            <w:r w:rsidRPr="00696597">
              <w:rPr>
                <w:sz w:val="20"/>
                <w:szCs w:val="20"/>
              </w:rPr>
              <w:t xml:space="preserve">Веб страницата pravnapomos.mk е достапна и на албански јазик. Воедно се поставуваат информативни видеа кои се </w:t>
            </w:r>
            <w:proofErr w:type="spellStart"/>
            <w:r w:rsidRPr="00696597">
              <w:rPr>
                <w:sz w:val="20"/>
                <w:szCs w:val="20"/>
              </w:rPr>
              <w:t>титлувани</w:t>
            </w:r>
            <w:proofErr w:type="spellEnd"/>
            <w:r w:rsidRPr="00696597">
              <w:rPr>
                <w:sz w:val="20"/>
                <w:szCs w:val="20"/>
              </w:rPr>
              <w:t xml:space="preserve"> со цел да бидат достапни за лица со оштетен вид или слух. Во 2023 ќе се работи на прилагодување на веб страницата за лица со дислексија. Во моментов веб страницата на Министерство за правда е прилагодена за 3 категории на лица.</w:t>
            </w:r>
          </w:p>
        </w:tc>
      </w:tr>
      <w:tr w:rsidR="00A52A9A" w14:paraId="73C4F4F7"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2B6AFC2E" w14:textId="77777777" w:rsidR="00A52A9A" w:rsidRDefault="00A52A9A" w:rsidP="00A86A0C">
            <w:pPr>
              <w:pStyle w:val="TableContents"/>
              <w:spacing w:after="0"/>
              <w:jc w:val="both"/>
            </w:pPr>
            <w:r>
              <w:rPr>
                <w:b/>
                <w:sz w:val="20"/>
              </w:rPr>
              <w:t>4.4.9 Спојување на податоци на веб страните https://pravnapomos.mk/ и https://www.pravnozajakni.mk/</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425937F8" w14:textId="77777777" w:rsidR="00A52A9A" w:rsidRPr="00696597" w:rsidRDefault="00A52A9A" w:rsidP="00A86A0C">
            <w:pPr>
              <w:pStyle w:val="TableContents"/>
              <w:jc w:val="both"/>
              <w:rPr>
                <w:sz w:val="20"/>
                <w:szCs w:val="20"/>
              </w:rPr>
            </w:pPr>
            <w:r w:rsidRPr="00696597">
              <w:rPr>
                <w:sz w:val="20"/>
                <w:szCs w:val="20"/>
              </w:rPr>
              <w:t>На веб страната на Министерство за правда веќе има упатување на pravnapomos.mk, па граѓаните ќе може да пристапат кон веб страната pravnapomos.mk и преку веб сајтот на Министерство за правда.</w:t>
            </w:r>
          </w:p>
        </w:tc>
      </w:tr>
      <w:tr w:rsidR="00A52A9A" w14:paraId="1C8B232C"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65F699B2" w14:textId="77777777" w:rsidR="00A52A9A" w:rsidRDefault="00A52A9A" w:rsidP="00A86A0C">
            <w:pPr>
              <w:pStyle w:val="TableContents"/>
              <w:spacing w:after="0"/>
              <w:jc w:val="both"/>
            </w:pPr>
            <w:r>
              <w:rPr>
                <w:b/>
                <w:sz w:val="20"/>
              </w:rPr>
              <w:t xml:space="preserve">4.4.10 Мапирање на формални и неформални даватели на правна помош </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40732625" w14:textId="77777777" w:rsidR="00A52A9A" w:rsidRPr="00696597" w:rsidRDefault="00A52A9A" w:rsidP="00A86A0C">
            <w:pPr>
              <w:pStyle w:val="TableContents"/>
              <w:jc w:val="both"/>
              <w:rPr>
                <w:sz w:val="20"/>
                <w:szCs w:val="20"/>
              </w:rPr>
            </w:pPr>
            <w:r w:rsidRPr="00696597">
              <w:rPr>
                <w:sz w:val="20"/>
                <w:szCs w:val="20"/>
              </w:rPr>
              <w:t>Оваа активност е завршена, но воедно е и тековна, бидејќи се работи за жив документ кој постојано ќе биде дополнуван и менуван.</w:t>
            </w:r>
          </w:p>
        </w:tc>
      </w:tr>
      <w:tr w:rsidR="00A52A9A" w14:paraId="0436206A"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20D11EA3" w14:textId="77777777" w:rsidR="00A52A9A" w:rsidRDefault="00A52A9A" w:rsidP="00A86A0C">
            <w:pPr>
              <w:pStyle w:val="TableContents"/>
              <w:spacing w:after="0"/>
              <w:jc w:val="both"/>
            </w:pPr>
            <w:r>
              <w:rPr>
                <w:b/>
                <w:sz w:val="20"/>
              </w:rPr>
              <w:lastRenderedPageBreak/>
              <w:t>4.4.11 Креирање и одржување на јавно достапен регистар при МП за формални и неформални даватели на правна помош</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119109EA" w14:textId="77777777" w:rsidR="00A52A9A" w:rsidRDefault="00A52A9A" w:rsidP="00A86A0C">
            <w:pPr>
              <w:pStyle w:val="TableContents"/>
              <w:jc w:val="both"/>
            </w:pPr>
          </w:p>
        </w:tc>
      </w:tr>
      <w:tr w:rsidR="00A52A9A" w14:paraId="35102912"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2B864426" w14:textId="77777777" w:rsidR="00A52A9A" w:rsidRDefault="00A52A9A" w:rsidP="00A86A0C">
            <w:pPr>
              <w:pStyle w:val="TableContents"/>
              <w:spacing w:after="0"/>
              <w:jc w:val="both"/>
            </w:pPr>
            <w:r>
              <w:rPr>
                <w:b/>
                <w:sz w:val="20"/>
              </w:rPr>
              <w:t xml:space="preserve">4.4.12 Спојување на податоци со кои располагаат </w:t>
            </w:r>
            <w:proofErr w:type="spellStart"/>
            <w:r>
              <w:rPr>
                <w:b/>
                <w:sz w:val="20"/>
              </w:rPr>
              <w:t>ГОи</w:t>
            </w:r>
            <w:proofErr w:type="spellEnd"/>
            <w:r>
              <w:rPr>
                <w:b/>
                <w:sz w:val="20"/>
              </w:rPr>
              <w:t xml:space="preserve"> и Министерство за правда</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58F11DC6" w14:textId="77777777" w:rsidR="00A52A9A" w:rsidRDefault="00A52A9A" w:rsidP="00A86A0C">
            <w:pPr>
              <w:pStyle w:val="TableContents"/>
              <w:jc w:val="both"/>
            </w:pPr>
          </w:p>
        </w:tc>
      </w:tr>
      <w:tr w:rsidR="00A52A9A" w14:paraId="5908649E"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48045FD8" w14:textId="77777777" w:rsidR="00A52A9A" w:rsidRDefault="00A52A9A" w:rsidP="00A86A0C">
            <w:pPr>
              <w:pStyle w:val="TableContents"/>
              <w:spacing w:after="0"/>
              <w:jc w:val="both"/>
            </w:pPr>
            <w:r>
              <w:rPr>
                <w:b/>
                <w:sz w:val="20"/>
              </w:rPr>
              <w:t>4.4.13 Интероперабилност на постоечка дата база на податоци овозможувајќи пристап до правда</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6ADDC62C" w14:textId="77777777" w:rsidR="00A52A9A" w:rsidRDefault="00A52A9A" w:rsidP="00A86A0C">
            <w:pPr>
              <w:pStyle w:val="TableContents"/>
              <w:jc w:val="both"/>
            </w:pPr>
          </w:p>
        </w:tc>
      </w:tr>
      <w:tr w:rsidR="00A52A9A" w14:paraId="3E776997" w14:textId="77777777" w:rsidTr="00A86A0C">
        <w:tc>
          <w:tcPr>
            <w:tcW w:w="4049" w:type="dxa"/>
            <w:gridSpan w:val="2"/>
            <w:tcBorders>
              <w:top w:val="single" w:sz="8" w:space="0" w:color="000001"/>
              <w:left w:val="single" w:sz="8" w:space="0" w:color="000001"/>
              <w:bottom w:val="single" w:sz="8" w:space="0" w:color="000001"/>
              <w:right w:val="single" w:sz="8" w:space="0" w:color="000001"/>
            </w:tcBorders>
            <w:shd w:val="clear" w:color="auto" w:fill="DEEAF6"/>
          </w:tcPr>
          <w:p w14:paraId="3208EB20" w14:textId="77777777" w:rsidR="00A52A9A" w:rsidRDefault="00A52A9A" w:rsidP="00A86A0C">
            <w:pPr>
              <w:pStyle w:val="TableContents"/>
              <w:spacing w:after="0"/>
              <w:jc w:val="both"/>
            </w:pPr>
            <w:r>
              <w:rPr>
                <w:b/>
                <w:sz w:val="20"/>
              </w:rPr>
              <w:t>4.4.14 Подготовка на Национален план (стратегија) за правно зајакнување</w:t>
            </w:r>
          </w:p>
        </w:tc>
        <w:tc>
          <w:tcPr>
            <w:tcW w:w="5296" w:type="dxa"/>
            <w:gridSpan w:val="6"/>
            <w:tcBorders>
              <w:top w:val="single" w:sz="8" w:space="0" w:color="000001"/>
              <w:left w:val="single" w:sz="8" w:space="0" w:color="000001"/>
              <w:bottom w:val="single" w:sz="8" w:space="0" w:color="000001"/>
              <w:right w:val="single" w:sz="8" w:space="0" w:color="000001"/>
            </w:tcBorders>
            <w:shd w:val="clear" w:color="auto" w:fill="auto"/>
            <w:vAlign w:val="center"/>
          </w:tcPr>
          <w:p w14:paraId="1B30E96B" w14:textId="77777777" w:rsidR="00A52A9A" w:rsidRDefault="00A52A9A" w:rsidP="00A86A0C">
            <w:pPr>
              <w:pStyle w:val="TableContents"/>
              <w:jc w:val="both"/>
            </w:pPr>
          </w:p>
        </w:tc>
      </w:tr>
      <w:tr w:rsidR="00A52A9A" w14:paraId="451730BA" w14:textId="77777777" w:rsidTr="00A86A0C">
        <w:tc>
          <w:tcPr>
            <w:tcW w:w="9345" w:type="dxa"/>
            <w:gridSpan w:val="8"/>
            <w:tcBorders>
              <w:top w:val="single" w:sz="8" w:space="0" w:color="000001"/>
              <w:left w:val="single" w:sz="8" w:space="0" w:color="000001"/>
              <w:bottom w:val="single" w:sz="8" w:space="0" w:color="000001"/>
              <w:right w:val="single" w:sz="8" w:space="0" w:color="000001"/>
            </w:tcBorders>
            <w:shd w:val="clear" w:color="auto" w:fill="1F4E79"/>
          </w:tcPr>
          <w:p w14:paraId="061A96C8" w14:textId="77777777" w:rsidR="00A52A9A" w:rsidRDefault="00A52A9A" w:rsidP="00A86A0C">
            <w:pPr>
              <w:pStyle w:val="TableContents"/>
              <w:jc w:val="center"/>
            </w:pPr>
            <w:r>
              <w:rPr>
                <w:b/>
                <w:color w:val="FFFFFF"/>
                <w:sz w:val="22"/>
              </w:rPr>
              <w:t>Животна средина и климатски промени</w:t>
            </w:r>
          </w:p>
        </w:tc>
      </w:tr>
      <w:tr w:rsidR="00A52A9A" w14:paraId="30B221F3"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25B520A5" w14:textId="77777777" w:rsidR="00A52A9A" w:rsidRDefault="00A52A9A" w:rsidP="00A86A0C">
            <w:pPr>
              <w:pStyle w:val="TableContents"/>
              <w:jc w:val="center"/>
            </w:pPr>
            <w:r>
              <w:rPr>
                <w:b/>
                <w:sz w:val="20"/>
              </w:rPr>
              <w:t>5.1 Намалување на ефектите од климатските промени и заштита на животната средина од земјоделските активности</w:t>
            </w:r>
          </w:p>
        </w:tc>
      </w:tr>
      <w:tr w:rsidR="00A52A9A" w14:paraId="26BB6AEE"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3CCD301C"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01.10.2021-31.03.2023</w:t>
            </w:r>
          </w:p>
        </w:tc>
      </w:tr>
      <w:tr w:rsidR="00A52A9A" w14:paraId="7B3A9180" w14:textId="77777777" w:rsidTr="00A86A0C">
        <w:tc>
          <w:tcPr>
            <w:tcW w:w="4040" w:type="dxa"/>
            <w:tcBorders>
              <w:top w:val="single" w:sz="8" w:space="0" w:color="000001"/>
              <w:left w:val="single" w:sz="8" w:space="0" w:color="000001"/>
              <w:bottom w:val="single" w:sz="8" w:space="0" w:color="000001"/>
              <w:right w:val="single" w:sz="8" w:space="0" w:color="000001"/>
            </w:tcBorders>
            <w:shd w:val="clear" w:color="auto" w:fill="FFFFFF"/>
          </w:tcPr>
          <w:p w14:paraId="7F01EE3F"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5" w:type="dxa"/>
            <w:gridSpan w:val="7"/>
            <w:tcBorders>
              <w:top w:val="single" w:sz="8" w:space="0" w:color="000001"/>
              <w:left w:val="single" w:sz="8" w:space="0" w:color="000001"/>
              <w:bottom w:val="single" w:sz="8" w:space="0" w:color="000001"/>
              <w:right w:val="single" w:sz="8" w:space="0" w:color="000001"/>
            </w:tcBorders>
            <w:shd w:val="clear" w:color="auto" w:fill="DEEAF6"/>
          </w:tcPr>
          <w:p w14:paraId="081DD329" w14:textId="77777777" w:rsidR="00A52A9A" w:rsidRPr="00142F34" w:rsidRDefault="00A52A9A" w:rsidP="00A86A0C">
            <w:pPr>
              <w:pStyle w:val="TableContents"/>
              <w:jc w:val="center"/>
              <w:rPr>
                <w:sz w:val="20"/>
                <w:szCs w:val="20"/>
              </w:rPr>
            </w:pPr>
            <w:r w:rsidRPr="00142F34">
              <w:rPr>
                <w:sz w:val="20"/>
                <w:szCs w:val="20"/>
              </w:rPr>
              <w:t>Министерство за земјоделство,</w:t>
            </w:r>
            <w:r>
              <w:rPr>
                <w:sz w:val="20"/>
                <w:szCs w:val="20"/>
              </w:rPr>
              <w:t xml:space="preserve"> </w:t>
            </w:r>
            <w:r w:rsidRPr="00142F34">
              <w:rPr>
                <w:sz w:val="20"/>
                <w:szCs w:val="20"/>
              </w:rPr>
              <w:t>шумарство и водостопанство</w:t>
            </w:r>
          </w:p>
        </w:tc>
      </w:tr>
      <w:tr w:rsidR="00A52A9A" w14:paraId="4CA2D27B" w14:textId="77777777" w:rsidTr="00A86A0C">
        <w:tblPrEx>
          <w:tblCellMar>
            <w:left w:w="115" w:type="dxa"/>
            <w:right w:w="115" w:type="dxa"/>
          </w:tblCellMar>
        </w:tblPrEx>
        <w:tc>
          <w:tcPr>
            <w:tcW w:w="4040" w:type="dxa"/>
            <w:vMerge w:val="restart"/>
            <w:tcBorders>
              <w:top w:val="single" w:sz="8" w:space="0" w:color="000001"/>
              <w:left w:val="single" w:sz="8" w:space="0" w:color="000001"/>
              <w:right w:val="single" w:sz="8" w:space="0" w:color="000001"/>
            </w:tcBorders>
            <w:shd w:val="clear" w:color="auto" w:fill="FFFFFF"/>
            <w:vAlign w:val="center"/>
          </w:tcPr>
          <w:p w14:paraId="10ECD1E4" w14:textId="77777777" w:rsidR="00A52A9A" w:rsidRDefault="00A52A9A" w:rsidP="00A86A0C">
            <w:pPr>
              <w:pStyle w:val="TableContents"/>
              <w:spacing w:after="0"/>
              <w:jc w:val="center"/>
            </w:pPr>
            <w:r>
              <w:rPr>
                <w:b/>
                <w:sz w:val="20"/>
              </w:rPr>
              <w:t>Статус на реализација на заложбата</w:t>
            </w:r>
          </w:p>
          <w:p w14:paraId="683CCB01"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7F44C186" w14:textId="77777777" w:rsidR="00A52A9A" w:rsidRPr="00C631BF" w:rsidRDefault="00A52A9A" w:rsidP="00A86A0C">
            <w:pPr>
              <w:pStyle w:val="TableContents"/>
              <w:jc w:val="center"/>
              <w:rPr>
                <w:sz w:val="17"/>
                <w:szCs w:val="17"/>
              </w:rPr>
            </w:pPr>
            <w:proofErr w:type="spellStart"/>
            <w:r w:rsidRPr="00C631BF">
              <w:rPr>
                <w:b/>
                <w:color w:val="000000"/>
                <w:sz w:val="17"/>
                <w:szCs w:val="17"/>
              </w:rPr>
              <w:t>незапочнато</w:t>
            </w:r>
            <w:proofErr w:type="spellEnd"/>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BC11B8F" w14:textId="77777777" w:rsidR="00A52A9A" w:rsidRDefault="00A52A9A" w:rsidP="00A86A0C">
            <w:pPr>
              <w:pStyle w:val="TableContents"/>
              <w:jc w:val="center"/>
            </w:pPr>
            <w:r>
              <w:rPr>
                <w:b/>
                <w:color w:val="000000"/>
                <w:sz w:val="18"/>
              </w:rPr>
              <w:t>ограничено</w:t>
            </w:r>
          </w:p>
        </w:tc>
        <w:tc>
          <w:tcPr>
            <w:tcW w:w="1380"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0A4AE364" w14:textId="77777777" w:rsidR="00A52A9A" w:rsidRDefault="00A52A9A" w:rsidP="00A86A0C">
            <w:pPr>
              <w:pStyle w:val="TableContents"/>
              <w:jc w:val="center"/>
            </w:pPr>
            <w:r>
              <w:rPr>
                <w:b/>
                <w:color w:val="000000"/>
                <w:sz w:val="18"/>
              </w:rPr>
              <w:t>значително</w:t>
            </w:r>
          </w:p>
        </w:tc>
        <w:tc>
          <w:tcPr>
            <w:tcW w:w="1193"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76022DC5" w14:textId="77777777" w:rsidR="00A52A9A" w:rsidRDefault="00A52A9A" w:rsidP="00A86A0C">
            <w:pPr>
              <w:pStyle w:val="TableContents"/>
              <w:jc w:val="center"/>
            </w:pPr>
            <w:r>
              <w:rPr>
                <w:b/>
                <w:color w:val="000000"/>
                <w:sz w:val="18"/>
              </w:rPr>
              <w:t>завршено</w:t>
            </w:r>
          </w:p>
        </w:tc>
      </w:tr>
      <w:tr w:rsidR="00A52A9A" w14:paraId="242F0310" w14:textId="77777777" w:rsidTr="00A86A0C">
        <w:tblPrEx>
          <w:tblCellMar>
            <w:left w:w="115" w:type="dxa"/>
            <w:right w:w="115" w:type="dxa"/>
          </w:tblCellMar>
        </w:tblPrEx>
        <w:tc>
          <w:tcPr>
            <w:tcW w:w="4040" w:type="dxa"/>
            <w:vMerge/>
            <w:tcBorders>
              <w:top w:val="single" w:sz="8" w:space="0" w:color="000001"/>
              <w:left w:val="single" w:sz="8" w:space="0" w:color="000001"/>
              <w:right w:val="single" w:sz="8" w:space="0" w:color="000001"/>
            </w:tcBorders>
            <w:shd w:val="clear" w:color="auto" w:fill="FFFFFF"/>
            <w:vAlign w:val="center"/>
          </w:tcPr>
          <w:p w14:paraId="1D719286"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290EF05A" w14:textId="77777777" w:rsidR="00A52A9A" w:rsidRDefault="00A52A9A" w:rsidP="00A86A0C">
            <w:pPr>
              <w:pStyle w:val="TableContents"/>
              <w:jc w:val="both"/>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3D278616" w14:textId="77777777" w:rsidR="00A52A9A" w:rsidRDefault="00A52A9A" w:rsidP="00A86A0C">
            <w:pPr>
              <w:pStyle w:val="TableContents"/>
              <w:jc w:val="both"/>
            </w:pPr>
          </w:p>
        </w:tc>
        <w:tc>
          <w:tcPr>
            <w:tcW w:w="1380"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304FC838" w14:textId="77777777" w:rsidR="00A52A9A" w:rsidRDefault="00A52A9A" w:rsidP="00A86A0C">
            <w:pPr>
              <w:pStyle w:val="TableContents"/>
              <w:jc w:val="both"/>
            </w:pPr>
          </w:p>
        </w:tc>
        <w:tc>
          <w:tcPr>
            <w:tcW w:w="1193"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7FC0D818" w14:textId="77777777" w:rsidR="00A52A9A" w:rsidRDefault="00A52A9A" w:rsidP="00A86A0C">
            <w:pPr>
              <w:pStyle w:val="TableContents"/>
              <w:jc w:val="both"/>
            </w:pPr>
          </w:p>
        </w:tc>
      </w:tr>
      <w:tr w:rsidR="00A52A9A" w14:paraId="4D3BCE7B" w14:textId="77777777" w:rsidTr="00A86A0C">
        <w:tc>
          <w:tcPr>
            <w:tcW w:w="4040" w:type="dxa"/>
            <w:tcBorders>
              <w:top w:val="single" w:sz="8" w:space="0" w:color="000001"/>
              <w:left w:val="single" w:sz="8" w:space="0" w:color="000001"/>
              <w:bottom w:val="single" w:sz="8" w:space="0" w:color="000001"/>
              <w:right w:val="single" w:sz="8" w:space="0" w:color="000001"/>
            </w:tcBorders>
            <w:shd w:val="clear" w:color="auto" w:fill="BDD6EE"/>
          </w:tcPr>
          <w:p w14:paraId="3A95377B" w14:textId="77777777" w:rsidR="00A52A9A" w:rsidRDefault="00A52A9A" w:rsidP="00A86A0C">
            <w:pPr>
              <w:pStyle w:val="TableContents"/>
              <w:jc w:val="center"/>
            </w:pPr>
            <w:r>
              <w:rPr>
                <w:b/>
                <w:sz w:val="20"/>
              </w:rPr>
              <w:t>Достигнувања</w:t>
            </w:r>
          </w:p>
        </w:tc>
        <w:tc>
          <w:tcPr>
            <w:tcW w:w="5305" w:type="dxa"/>
            <w:gridSpan w:val="7"/>
            <w:tcBorders>
              <w:top w:val="single" w:sz="8" w:space="0" w:color="000001"/>
              <w:left w:val="single" w:sz="8" w:space="0" w:color="000001"/>
              <w:bottom w:val="single" w:sz="8" w:space="0" w:color="000001"/>
              <w:right w:val="single" w:sz="8" w:space="0" w:color="000001"/>
            </w:tcBorders>
            <w:shd w:val="clear" w:color="auto" w:fill="BDD6EE"/>
          </w:tcPr>
          <w:p w14:paraId="097E4C25"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6B951887" w14:textId="77777777" w:rsidTr="00A86A0C">
        <w:tc>
          <w:tcPr>
            <w:tcW w:w="4040" w:type="dxa"/>
            <w:tcBorders>
              <w:top w:val="single" w:sz="8" w:space="0" w:color="000001"/>
              <w:left w:val="single" w:sz="8" w:space="0" w:color="000001"/>
              <w:bottom w:val="single" w:sz="8" w:space="0" w:color="000001"/>
              <w:right w:val="single" w:sz="8" w:space="0" w:color="000001"/>
            </w:tcBorders>
            <w:shd w:val="clear" w:color="auto" w:fill="DEEAF6"/>
          </w:tcPr>
          <w:p w14:paraId="0A6D1084" w14:textId="77777777" w:rsidR="00A52A9A" w:rsidRDefault="00A52A9A" w:rsidP="00A86A0C">
            <w:pPr>
              <w:pStyle w:val="TableContents"/>
              <w:spacing w:after="0"/>
              <w:jc w:val="both"/>
            </w:pPr>
            <w:r>
              <w:rPr>
                <w:b/>
                <w:sz w:val="20"/>
              </w:rPr>
              <w:t>5.1.1 Зголемување на обемот на информации помеѓу руралното население за негативните ефекти од климатските промени и загадувањето на животната средина</w:t>
            </w:r>
          </w:p>
        </w:tc>
        <w:tc>
          <w:tcPr>
            <w:tcW w:w="5305"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151F448A" w14:textId="77777777" w:rsidR="00A52A9A" w:rsidRDefault="00A52A9A" w:rsidP="00A86A0C">
            <w:pPr>
              <w:pStyle w:val="TableContents"/>
              <w:jc w:val="both"/>
            </w:pPr>
          </w:p>
        </w:tc>
      </w:tr>
      <w:tr w:rsidR="00A52A9A" w14:paraId="092F9F6E" w14:textId="77777777" w:rsidTr="00A86A0C">
        <w:tc>
          <w:tcPr>
            <w:tcW w:w="4040" w:type="dxa"/>
            <w:tcBorders>
              <w:top w:val="single" w:sz="8" w:space="0" w:color="000001"/>
              <w:left w:val="single" w:sz="8" w:space="0" w:color="000001"/>
              <w:bottom w:val="single" w:sz="8" w:space="0" w:color="000001"/>
              <w:right w:val="single" w:sz="8" w:space="0" w:color="000001"/>
            </w:tcBorders>
            <w:shd w:val="clear" w:color="auto" w:fill="DEEAF6"/>
          </w:tcPr>
          <w:p w14:paraId="51DAEE4D" w14:textId="77777777" w:rsidR="00A52A9A" w:rsidRDefault="00A52A9A" w:rsidP="00A86A0C">
            <w:pPr>
              <w:pStyle w:val="TableContents"/>
              <w:spacing w:after="0"/>
              <w:jc w:val="both"/>
            </w:pPr>
            <w:r>
              <w:rPr>
                <w:b/>
                <w:sz w:val="20"/>
              </w:rPr>
              <w:t xml:space="preserve">5.1.2 Зголемување на обемот на информации помеѓу руралното население и едукација за правилникот за Добра земјоделска пракса како и измените во делот на санкциите за негова </w:t>
            </w:r>
            <w:proofErr w:type="spellStart"/>
            <w:r>
              <w:rPr>
                <w:b/>
                <w:sz w:val="20"/>
              </w:rPr>
              <w:t>непримена</w:t>
            </w:r>
            <w:proofErr w:type="spellEnd"/>
            <w:r>
              <w:rPr>
                <w:b/>
                <w:sz w:val="20"/>
              </w:rPr>
              <w:t xml:space="preserve"> на терен</w:t>
            </w:r>
          </w:p>
        </w:tc>
        <w:tc>
          <w:tcPr>
            <w:tcW w:w="5305"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56F4D22B" w14:textId="77777777" w:rsidR="00A52A9A" w:rsidRDefault="00A52A9A" w:rsidP="00A86A0C">
            <w:pPr>
              <w:pStyle w:val="TableContents"/>
              <w:jc w:val="both"/>
            </w:pPr>
          </w:p>
        </w:tc>
      </w:tr>
      <w:tr w:rsidR="00A52A9A" w14:paraId="1FC701E1" w14:textId="77777777" w:rsidTr="00A86A0C">
        <w:tc>
          <w:tcPr>
            <w:tcW w:w="4040" w:type="dxa"/>
            <w:tcBorders>
              <w:top w:val="single" w:sz="8" w:space="0" w:color="000001"/>
              <w:left w:val="single" w:sz="8" w:space="0" w:color="000001"/>
              <w:bottom w:val="single" w:sz="8" w:space="0" w:color="000001"/>
              <w:right w:val="single" w:sz="8" w:space="0" w:color="000001"/>
            </w:tcBorders>
            <w:shd w:val="clear" w:color="auto" w:fill="DEEAF6"/>
          </w:tcPr>
          <w:p w14:paraId="0303F058" w14:textId="77777777" w:rsidR="00A52A9A" w:rsidRDefault="00A52A9A" w:rsidP="00A86A0C">
            <w:pPr>
              <w:pStyle w:val="TableContents"/>
              <w:spacing w:after="0"/>
              <w:jc w:val="both"/>
            </w:pPr>
            <w:r>
              <w:rPr>
                <w:b/>
                <w:sz w:val="20"/>
              </w:rPr>
              <w:t xml:space="preserve">5.1.3 Проширување на листата на посебни минимални услови за ДЗП и </w:t>
            </w:r>
            <w:r>
              <w:rPr>
                <w:b/>
                <w:sz w:val="20"/>
              </w:rPr>
              <w:lastRenderedPageBreak/>
              <w:t>заштита на животната средина кои што земјоделските производители ќе треба да ги исполнат со примена на Добрата земјоделска пракса и изработка на нов правилник за добра земјоделска пракса</w:t>
            </w:r>
          </w:p>
        </w:tc>
        <w:tc>
          <w:tcPr>
            <w:tcW w:w="5305"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492807FB" w14:textId="77777777" w:rsidR="00A52A9A" w:rsidRDefault="00A52A9A" w:rsidP="00A86A0C">
            <w:pPr>
              <w:pStyle w:val="TableContents"/>
              <w:jc w:val="both"/>
            </w:pPr>
          </w:p>
        </w:tc>
      </w:tr>
      <w:tr w:rsidR="00A52A9A" w14:paraId="7CF33619" w14:textId="77777777" w:rsidTr="00A86A0C">
        <w:trPr>
          <w:trHeight w:val="776"/>
        </w:trPr>
        <w:tc>
          <w:tcPr>
            <w:tcW w:w="9345" w:type="dxa"/>
            <w:gridSpan w:val="8"/>
            <w:tcBorders>
              <w:top w:val="single" w:sz="8" w:space="0" w:color="000001"/>
              <w:left w:val="single" w:sz="8" w:space="0" w:color="000001"/>
              <w:bottom w:val="none" w:sz="1" w:space="0" w:color="000001"/>
              <w:right w:val="single" w:sz="8" w:space="0" w:color="000001"/>
            </w:tcBorders>
            <w:shd w:val="clear" w:color="auto" w:fill="DEEAF6"/>
          </w:tcPr>
          <w:p w14:paraId="309FC91D" w14:textId="77777777" w:rsidR="00A52A9A" w:rsidRDefault="00A52A9A" w:rsidP="00A86A0C">
            <w:pPr>
              <w:pStyle w:val="TableContents"/>
              <w:jc w:val="center"/>
            </w:pPr>
            <w:r>
              <w:rPr>
                <w:b/>
                <w:sz w:val="20"/>
              </w:rPr>
              <w:t>5.2 Пристап до информации за нивото на аерозагадување</w:t>
            </w:r>
          </w:p>
        </w:tc>
      </w:tr>
      <w:tr w:rsidR="00A52A9A" w14:paraId="5E9FDF2E" w14:textId="77777777" w:rsidTr="00A86A0C">
        <w:tc>
          <w:tcPr>
            <w:tcW w:w="9345" w:type="dxa"/>
            <w:gridSpan w:val="8"/>
            <w:tcBorders>
              <w:top w:val="none" w:sz="1" w:space="0" w:color="000001"/>
              <w:left w:val="single" w:sz="8" w:space="0" w:color="000001"/>
              <w:bottom w:val="single" w:sz="8" w:space="0" w:color="000001"/>
              <w:right w:val="single" w:sz="8" w:space="0" w:color="000001"/>
            </w:tcBorders>
            <w:shd w:val="clear" w:color="auto" w:fill="auto"/>
          </w:tcPr>
          <w:p w14:paraId="196F51C0" w14:textId="77777777" w:rsidR="00A52A9A" w:rsidRDefault="00A52A9A" w:rsidP="00A86A0C">
            <w:pPr>
              <w:pStyle w:val="TableContents"/>
              <w:jc w:val="center"/>
            </w:pPr>
            <w:proofErr w:type="spellStart"/>
            <w:r>
              <w:rPr>
                <w:b/>
                <w:color w:val="000000"/>
                <w:sz w:val="20"/>
                <w:lang w:val="en-US"/>
              </w:rPr>
              <w:t>Почетен</w:t>
            </w:r>
            <w:proofErr w:type="spellEnd"/>
            <w:r>
              <w:rPr>
                <w:b/>
                <w:color w:val="000000"/>
                <w:sz w:val="20"/>
                <w:lang w:val="en-US"/>
              </w:rPr>
              <w:t xml:space="preserve"> и </w:t>
            </w:r>
            <w:proofErr w:type="spellStart"/>
            <w:r>
              <w:rPr>
                <w:b/>
                <w:color w:val="000000"/>
                <w:sz w:val="20"/>
                <w:lang w:val="en-US"/>
              </w:rPr>
              <w:t>краен</w:t>
            </w:r>
            <w:proofErr w:type="spellEnd"/>
            <w:r>
              <w:rPr>
                <w:b/>
                <w:color w:val="000000"/>
                <w:sz w:val="20"/>
                <w:lang w:val="en-US"/>
              </w:rPr>
              <w:t xml:space="preserve"> </w:t>
            </w:r>
            <w:proofErr w:type="spellStart"/>
            <w:r>
              <w:rPr>
                <w:b/>
                <w:color w:val="000000"/>
                <w:sz w:val="20"/>
                <w:lang w:val="en-US"/>
              </w:rPr>
              <w:t>датум</w:t>
            </w:r>
            <w:proofErr w:type="spellEnd"/>
            <w:r>
              <w:rPr>
                <w:b/>
                <w:color w:val="000000"/>
                <w:sz w:val="20"/>
                <w:lang w:val="en-US"/>
              </w:rPr>
              <w:t xml:space="preserve"> </w:t>
            </w:r>
            <w:proofErr w:type="spellStart"/>
            <w:r>
              <w:rPr>
                <w:b/>
                <w:color w:val="000000"/>
                <w:sz w:val="20"/>
                <w:lang w:val="en-US"/>
              </w:rPr>
              <w:t>на</w:t>
            </w:r>
            <w:proofErr w:type="spellEnd"/>
            <w:r>
              <w:rPr>
                <w:b/>
                <w:color w:val="000000"/>
                <w:sz w:val="20"/>
                <w:lang w:val="en-US"/>
              </w:rPr>
              <w:t xml:space="preserve"> </w:t>
            </w:r>
            <w:proofErr w:type="spellStart"/>
            <w:r>
              <w:rPr>
                <w:b/>
                <w:color w:val="000000"/>
                <w:sz w:val="20"/>
                <w:lang w:val="en-US"/>
              </w:rPr>
              <w:t>обврската</w:t>
            </w:r>
            <w:proofErr w:type="spellEnd"/>
            <w:r>
              <w:rPr>
                <w:color w:val="000000"/>
                <w:sz w:val="20"/>
                <w:lang w:val="en-US"/>
              </w:rPr>
              <w:t xml:space="preserve">: </w:t>
            </w:r>
            <w:r>
              <w:rPr>
                <w:sz w:val="20"/>
              </w:rPr>
              <w:t>01.10.2021-30.09.2023</w:t>
            </w:r>
          </w:p>
        </w:tc>
      </w:tr>
      <w:tr w:rsidR="00A52A9A" w14:paraId="5EF297AC" w14:textId="77777777" w:rsidTr="00A86A0C">
        <w:tc>
          <w:tcPr>
            <w:tcW w:w="4040" w:type="dxa"/>
            <w:tcBorders>
              <w:top w:val="single" w:sz="8" w:space="0" w:color="000001"/>
              <w:left w:val="single" w:sz="8" w:space="0" w:color="000001"/>
              <w:bottom w:val="single" w:sz="8" w:space="0" w:color="000001"/>
              <w:right w:val="single" w:sz="8" w:space="0" w:color="000001"/>
            </w:tcBorders>
            <w:shd w:val="clear" w:color="auto" w:fill="FFFFFF"/>
          </w:tcPr>
          <w:p w14:paraId="3641DCE6" w14:textId="77777777" w:rsidR="00A52A9A" w:rsidRDefault="00A52A9A" w:rsidP="00A86A0C">
            <w:pPr>
              <w:pStyle w:val="TableContents"/>
              <w:jc w:val="center"/>
            </w:pPr>
            <w:proofErr w:type="spellStart"/>
            <w:r>
              <w:rPr>
                <w:b/>
                <w:color w:val="000000"/>
                <w:sz w:val="20"/>
                <w:lang w:val="en-US"/>
              </w:rPr>
              <w:t>Водечка</w:t>
            </w:r>
            <w:proofErr w:type="spellEnd"/>
            <w:r>
              <w:rPr>
                <w:b/>
                <w:color w:val="000000"/>
                <w:sz w:val="20"/>
                <w:lang w:val="en-US"/>
              </w:rPr>
              <w:t xml:space="preserve"> </w:t>
            </w:r>
            <w:proofErr w:type="spellStart"/>
            <w:r>
              <w:rPr>
                <w:b/>
                <w:color w:val="000000"/>
                <w:sz w:val="20"/>
                <w:lang w:val="en-US"/>
              </w:rPr>
              <w:t>институција</w:t>
            </w:r>
            <w:proofErr w:type="spellEnd"/>
            <w:r>
              <w:rPr>
                <w:b/>
                <w:color w:val="000000"/>
                <w:sz w:val="20"/>
                <w:lang w:val="en-US"/>
              </w:rPr>
              <w:t xml:space="preserve"> </w:t>
            </w:r>
            <w:proofErr w:type="spellStart"/>
            <w:r>
              <w:rPr>
                <w:b/>
                <w:color w:val="000000"/>
                <w:sz w:val="20"/>
                <w:lang w:val="en-US"/>
              </w:rPr>
              <w:t>за</w:t>
            </w:r>
            <w:proofErr w:type="spellEnd"/>
            <w:r>
              <w:rPr>
                <w:b/>
                <w:color w:val="000000"/>
                <w:sz w:val="20"/>
                <w:lang w:val="en-US"/>
              </w:rPr>
              <w:t xml:space="preserve"> </w:t>
            </w:r>
            <w:proofErr w:type="spellStart"/>
            <w:r>
              <w:rPr>
                <w:b/>
                <w:color w:val="000000"/>
                <w:sz w:val="20"/>
                <w:lang w:val="en-US"/>
              </w:rPr>
              <w:t>спроведување</w:t>
            </w:r>
            <w:proofErr w:type="spellEnd"/>
          </w:p>
        </w:tc>
        <w:tc>
          <w:tcPr>
            <w:tcW w:w="5305" w:type="dxa"/>
            <w:gridSpan w:val="7"/>
            <w:tcBorders>
              <w:top w:val="single" w:sz="8" w:space="0" w:color="000001"/>
              <w:left w:val="single" w:sz="8" w:space="0" w:color="000001"/>
              <w:bottom w:val="single" w:sz="8" w:space="0" w:color="000001"/>
              <w:right w:val="single" w:sz="8" w:space="0" w:color="000001"/>
            </w:tcBorders>
            <w:shd w:val="clear" w:color="auto" w:fill="DEEAF6"/>
          </w:tcPr>
          <w:p w14:paraId="17C440B1" w14:textId="77777777" w:rsidR="00A52A9A" w:rsidRPr="00142F34" w:rsidRDefault="00A52A9A" w:rsidP="00A86A0C">
            <w:pPr>
              <w:pStyle w:val="TableContents"/>
              <w:jc w:val="center"/>
              <w:rPr>
                <w:sz w:val="20"/>
                <w:szCs w:val="20"/>
              </w:rPr>
            </w:pPr>
            <w:r w:rsidRPr="00142F34">
              <w:rPr>
                <w:sz w:val="20"/>
                <w:szCs w:val="20"/>
              </w:rPr>
              <w:t>Министерство за животна средина и просторно планирање</w:t>
            </w:r>
          </w:p>
        </w:tc>
      </w:tr>
      <w:tr w:rsidR="00A52A9A" w14:paraId="13E3EBFC" w14:textId="77777777" w:rsidTr="00A86A0C">
        <w:tblPrEx>
          <w:tblCellMar>
            <w:left w:w="115" w:type="dxa"/>
            <w:right w:w="115" w:type="dxa"/>
          </w:tblCellMar>
        </w:tblPrEx>
        <w:tc>
          <w:tcPr>
            <w:tcW w:w="4040" w:type="dxa"/>
            <w:vMerge w:val="restart"/>
            <w:tcBorders>
              <w:top w:val="single" w:sz="8" w:space="0" w:color="000001"/>
              <w:left w:val="single" w:sz="8" w:space="0" w:color="000001"/>
              <w:right w:val="single" w:sz="8" w:space="0" w:color="000001"/>
            </w:tcBorders>
            <w:shd w:val="clear" w:color="auto" w:fill="FFFFFF"/>
            <w:vAlign w:val="center"/>
          </w:tcPr>
          <w:p w14:paraId="1BB1855E" w14:textId="77777777" w:rsidR="00A52A9A" w:rsidRDefault="00A52A9A" w:rsidP="00A86A0C">
            <w:pPr>
              <w:pStyle w:val="TableContents"/>
              <w:spacing w:after="0"/>
              <w:jc w:val="center"/>
            </w:pPr>
            <w:r>
              <w:rPr>
                <w:b/>
                <w:sz w:val="20"/>
              </w:rPr>
              <w:t>Статус на реализација на заложбата</w:t>
            </w:r>
          </w:p>
          <w:p w14:paraId="04561F80" w14:textId="77777777" w:rsidR="00A52A9A" w:rsidRDefault="00A52A9A" w:rsidP="00A86A0C">
            <w:pPr>
              <w:pStyle w:val="TableContents"/>
              <w:jc w:val="cente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77031563" w14:textId="77777777" w:rsidR="00A52A9A" w:rsidRPr="00C631BF" w:rsidRDefault="00A52A9A" w:rsidP="00A86A0C">
            <w:pPr>
              <w:pStyle w:val="TableContents"/>
              <w:jc w:val="center"/>
              <w:rPr>
                <w:sz w:val="17"/>
                <w:szCs w:val="17"/>
              </w:rPr>
            </w:pPr>
            <w:proofErr w:type="spellStart"/>
            <w:r w:rsidRPr="00C631BF">
              <w:rPr>
                <w:b/>
                <w:color w:val="000000"/>
                <w:sz w:val="17"/>
                <w:szCs w:val="17"/>
              </w:rPr>
              <w:t>незапочнато</w:t>
            </w:r>
            <w:proofErr w:type="spellEnd"/>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4C587764" w14:textId="77777777" w:rsidR="00A52A9A" w:rsidRDefault="00A52A9A" w:rsidP="00A86A0C">
            <w:pPr>
              <w:pStyle w:val="TableContents"/>
              <w:jc w:val="center"/>
            </w:pPr>
            <w:r>
              <w:rPr>
                <w:b/>
                <w:color w:val="000000"/>
                <w:sz w:val="18"/>
              </w:rPr>
              <w:t>ограничено</w:t>
            </w:r>
          </w:p>
        </w:tc>
        <w:tc>
          <w:tcPr>
            <w:tcW w:w="1380"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78E91E0D" w14:textId="77777777" w:rsidR="00A52A9A" w:rsidRDefault="00A52A9A" w:rsidP="00A86A0C">
            <w:pPr>
              <w:pStyle w:val="TableContents"/>
              <w:jc w:val="center"/>
            </w:pPr>
            <w:r>
              <w:rPr>
                <w:b/>
                <w:color w:val="000000"/>
                <w:sz w:val="18"/>
              </w:rPr>
              <w:t>значително</w:t>
            </w:r>
          </w:p>
        </w:tc>
        <w:tc>
          <w:tcPr>
            <w:tcW w:w="1193"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232DA0D" w14:textId="77777777" w:rsidR="00A52A9A" w:rsidRDefault="00A52A9A" w:rsidP="00A86A0C">
            <w:pPr>
              <w:pStyle w:val="TableContents"/>
              <w:jc w:val="center"/>
            </w:pPr>
            <w:r>
              <w:rPr>
                <w:b/>
                <w:color w:val="000000"/>
                <w:sz w:val="18"/>
              </w:rPr>
              <w:t>завршено</w:t>
            </w:r>
          </w:p>
        </w:tc>
      </w:tr>
      <w:tr w:rsidR="00A52A9A" w14:paraId="20A1BE01" w14:textId="77777777" w:rsidTr="00A86A0C">
        <w:tblPrEx>
          <w:tblCellMar>
            <w:left w:w="115" w:type="dxa"/>
            <w:right w:w="115" w:type="dxa"/>
          </w:tblCellMar>
        </w:tblPrEx>
        <w:tc>
          <w:tcPr>
            <w:tcW w:w="4040" w:type="dxa"/>
            <w:vMerge/>
            <w:tcBorders>
              <w:top w:val="single" w:sz="8" w:space="0" w:color="000001"/>
              <w:left w:val="single" w:sz="8" w:space="0" w:color="000001"/>
              <w:right w:val="single" w:sz="8" w:space="0" w:color="000001"/>
            </w:tcBorders>
            <w:shd w:val="clear" w:color="auto" w:fill="FFFFFF"/>
            <w:vAlign w:val="center"/>
          </w:tcPr>
          <w:p w14:paraId="29E0CC0F" w14:textId="77777777" w:rsidR="00A52A9A" w:rsidRDefault="00A52A9A" w:rsidP="00A86A0C">
            <w:pPr>
              <w:pStyle w:val="TableContents"/>
              <w:rPr>
                <w:sz w:val="4"/>
                <w:szCs w:val="4"/>
              </w:rPr>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3001270E" w14:textId="77777777" w:rsidR="00A52A9A" w:rsidRDefault="00A52A9A" w:rsidP="00A86A0C">
            <w:pPr>
              <w:pStyle w:val="TableContents"/>
              <w:jc w:val="both"/>
            </w:pPr>
          </w:p>
        </w:tc>
        <w:tc>
          <w:tcPr>
            <w:tcW w:w="1366" w:type="dxa"/>
            <w:gridSpan w:val="2"/>
            <w:tcBorders>
              <w:top w:val="single" w:sz="8" w:space="0" w:color="000001"/>
              <w:left w:val="single" w:sz="8" w:space="0" w:color="000001"/>
              <w:bottom w:val="single" w:sz="8" w:space="0" w:color="000001"/>
              <w:right w:val="single" w:sz="8" w:space="0" w:color="000001"/>
            </w:tcBorders>
            <w:shd w:val="clear" w:color="auto" w:fill="548DD4"/>
            <w:vAlign w:val="center"/>
          </w:tcPr>
          <w:p w14:paraId="37440221" w14:textId="77777777" w:rsidR="00A52A9A" w:rsidRDefault="00A52A9A" w:rsidP="00A86A0C">
            <w:pPr>
              <w:pStyle w:val="TableContents"/>
              <w:jc w:val="both"/>
            </w:pPr>
          </w:p>
        </w:tc>
        <w:tc>
          <w:tcPr>
            <w:tcW w:w="1380" w:type="dxa"/>
            <w:gridSpan w:val="2"/>
            <w:tcBorders>
              <w:top w:val="single" w:sz="8" w:space="0" w:color="000001"/>
              <w:left w:val="single" w:sz="8" w:space="0" w:color="000001"/>
              <w:bottom w:val="single" w:sz="8" w:space="0" w:color="000001"/>
              <w:right w:val="single" w:sz="8" w:space="0" w:color="000001"/>
            </w:tcBorders>
            <w:shd w:val="clear" w:color="auto" w:fill="FFFFFF"/>
            <w:vAlign w:val="center"/>
          </w:tcPr>
          <w:p w14:paraId="47126EC0" w14:textId="77777777" w:rsidR="00A52A9A" w:rsidRDefault="00A52A9A" w:rsidP="00A86A0C">
            <w:pPr>
              <w:pStyle w:val="TableContents"/>
              <w:jc w:val="both"/>
            </w:pPr>
          </w:p>
        </w:tc>
        <w:tc>
          <w:tcPr>
            <w:tcW w:w="1193"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92F8F86" w14:textId="77777777" w:rsidR="00A52A9A" w:rsidRDefault="00A52A9A" w:rsidP="00A86A0C">
            <w:pPr>
              <w:pStyle w:val="TableContents"/>
              <w:jc w:val="both"/>
            </w:pPr>
          </w:p>
        </w:tc>
      </w:tr>
      <w:tr w:rsidR="00A52A9A" w14:paraId="72D90B29" w14:textId="77777777" w:rsidTr="00A86A0C">
        <w:tc>
          <w:tcPr>
            <w:tcW w:w="4040" w:type="dxa"/>
            <w:tcBorders>
              <w:top w:val="single" w:sz="8" w:space="0" w:color="000001"/>
              <w:left w:val="single" w:sz="8" w:space="0" w:color="000001"/>
              <w:bottom w:val="single" w:sz="8" w:space="0" w:color="000001"/>
              <w:right w:val="single" w:sz="8" w:space="0" w:color="000001"/>
            </w:tcBorders>
            <w:shd w:val="clear" w:color="auto" w:fill="BDD6EE"/>
          </w:tcPr>
          <w:p w14:paraId="7802FA49" w14:textId="77777777" w:rsidR="00A52A9A" w:rsidRDefault="00A52A9A" w:rsidP="00A86A0C">
            <w:pPr>
              <w:pStyle w:val="TableContents"/>
              <w:jc w:val="center"/>
            </w:pPr>
            <w:r>
              <w:rPr>
                <w:b/>
                <w:sz w:val="20"/>
              </w:rPr>
              <w:t>Достигнувања</w:t>
            </w:r>
          </w:p>
        </w:tc>
        <w:tc>
          <w:tcPr>
            <w:tcW w:w="5305" w:type="dxa"/>
            <w:gridSpan w:val="7"/>
            <w:tcBorders>
              <w:top w:val="single" w:sz="8" w:space="0" w:color="000001"/>
              <w:left w:val="single" w:sz="8" w:space="0" w:color="000001"/>
              <w:bottom w:val="single" w:sz="8" w:space="0" w:color="000001"/>
              <w:right w:val="single" w:sz="8" w:space="0" w:color="000001"/>
            </w:tcBorders>
            <w:shd w:val="clear" w:color="auto" w:fill="BDD6EE"/>
          </w:tcPr>
          <w:p w14:paraId="2548BF21" w14:textId="77777777" w:rsidR="00A52A9A" w:rsidRDefault="00A52A9A" w:rsidP="00A86A0C">
            <w:pPr>
              <w:pStyle w:val="TableContents"/>
              <w:jc w:val="center"/>
            </w:pPr>
            <w:r>
              <w:rPr>
                <w:b/>
                <w:sz w:val="20"/>
              </w:rPr>
              <w:t xml:space="preserve">Кус опис на </w:t>
            </w:r>
            <w:proofErr w:type="spellStart"/>
            <w:r>
              <w:rPr>
                <w:b/>
                <w:sz w:val="20"/>
              </w:rPr>
              <w:t>превземени</w:t>
            </w:r>
            <w:proofErr w:type="spellEnd"/>
            <w:r>
              <w:rPr>
                <w:b/>
                <w:sz w:val="20"/>
              </w:rPr>
              <w:t xml:space="preserve"> активности и постигнати резултати по достигнување</w:t>
            </w:r>
          </w:p>
        </w:tc>
      </w:tr>
      <w:tr w:rsidR="00A52A9A" w14:paraId="737735EA" w14:textId="77777777" w:rsidTr="00A86A0C">
        <w:tc>
          <w:tcPr>
            <w:tcW w:w="4040" w:type="dxa"/>
            <w:tcBorders>
              <w:top w:val="single" w:sz="8" w:space="0" w:color="000001"/>
              <w:left w:val="single" w:sz="8" w:space="0" w:color="000001"/>
              <w:bottom w:val="single" w:sz="8" w:space="0" w:color="000001"/>
              <w:right w:val="single" w:sz="8" w:space="0" w:color="000001"/>
            </w:tcBorders>
            <w:shd w:val="clear" w:color="auto" w:fill="DEEAF6"/>
          </w:tcPr>
          <w:p w14:paraId="0B8E0A40" w14:textId="77777777" w:rsidR="00A52A9A" w:rsidRDefault="00A52A9A" w:rsidP="00A86A0C">
            <w:pPr>
              <w:pStyle w:val="TableContents"/>
              <w:spacing w:after="0"/>
              <w:jc w:val="both"/>
            </w:pPr>
            <w:r>
              <w:rPr>
                <w:b/>
                <w:sz w:val="20"/>
              </w:rPr>
              <w:t xml:space="preserve">5.2.1 Поставени 4 нови мерни станици за мерење на квалитетот на воздухот како дел од државната мониторинг мрежа (Прилеп, Штип, Охрид, Берово) со цел надополнување на обемот на информации за нивото на загадување во овие четири града објавени на </w:t>
            </w:r>
            <w:proofErr w:type="spellStart"/>
            <w:r>
              <w:rPr>
                <w:b/>
                <w:sz w:val="20"/>
              </w:rPr>
              <w:t>Air</w:t>
            </w:r>
            <w:proofErr w:type="spellEnd"/>
            <w:r>
              <w:rPr>
                <w:b/>
                <w:sz w:val="20"/>
              </w:rPr>
              <w:t xml:space="preserve"> </w:t>
            </w:r>
            <w:proofErr w:type="spellStart"/>
            <w:r>
              <w:rPr>
                <w:b/>
                <w:sz w:val="20"/>
              </w:rPr>
              <w:t>Quality</w:t>
            </w:r>
            <w:proofErr w:type="spellEnd"/>
            <w:r>
              <w:rPr>
                <w:b/>
                <w:sz w:val="20"/>
              </w:rPr>
              <w:t xml:space="preserve"> </w:t>
            </w:r>
            <w:proofErr w:type="spellStart"/>
            <w:r>
              <w:rPr>
                <w:b/>
                <w:sz w:val="20"/>
              </w:rPr>
              <w:t>Portal</w:t>
            </w:r>
            <w:proofErr w:type="spellEnd"/>
            <w:r>
              <w:rPr>
                <w:b/>
                <w:sz w:val="20"/>
              </w:rPr>
              <w:t xml:space="preserve"> (</w:t>
            </w:r>
            <w:proofErr w:type="spellStart"/>
            <w:r>
              <w:rPr>
                <w:b/>
                <w:sz w:val="20"/>
              </w:rPr>
              <w:t>Air</w:t>
            </w:r>
            <w:proofErr w:type="spellEnd"/>
            <w:r>
              <w:rPr>
                <w:b/>
                <w:sz w:val="20"/>
              </w:rPr>
              <w:t xml:space="preserve"> </w:t>
            </w:r>
            <w:proofErr w:type="spellStart"/>
            <w:r>
              <w:rPr>
                <w:b/>
                <w:sz w:val="20"/>
              </w:rPr>
              <w:t>Quality</w:t>
            </w:r>
            <w:proofErr w:type="spellEnd"/>
            <w:r>
              <w:rPr>
                <w:b/>
                <w:sz w:val="20"/>
              </w:rPr>
              <w:t xml:space="preserve"> </w:t>
            </w:r>
            <w:proofErr w:type="spellStart"/>
            <w:r>
              <w:rPr>
                <w:b/>
                <w:sz w:val="20"/>
              </w:rPr>
              <w:t>Portal</w:t>
            </w:r>
            <w:proofErr w:type="spellEnd"/>
            <w:r>
              <w:rPr>
                <w:b/>
                <w:sz w:val="20"/>
              </w:rPr>
              <w:t xml:space="preserve"> (moepp.gov.mk)), а во насока на овозможување на повеќе информации за граѓаните со цел навремена реакција за </w:t>
            </w:r>
            <w:proofErr w:type="spellStart"/>
            <w:r>
              <w:rPr>
                <w:b/>
                <w:sz w:val="20"/>
              </w:rPr>
              <w:t>превземање</w:t>
            </w:r>
            <w:proofErr w:type="spellEnd"/>
            <w:r>
              <w:rPr>
                <w:b/>
                <w:sz w:val="20"/>
              </w:rPr>
              <w:t xml:space="preserve"> на соодветни решенија</w:t>
            </w:r>
          </w:p>
        </w:tc>
        <w:tc>
          <w:tcPr>
            <w:tcW w:w="5305"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632BF185" w14:textId="77777777" w:rsidR="00A52A9A" w:rsidRPr="00696597" w:rsidRDefault="00A52A9A" w:rsidP="00A86A0C">
            <w:pPr>
              <w:pStyle w:val="TableContents"/>
              <w:jc w:val="both"/>
              <w:rPr>
                <w:sz w:val="20"/>
                <w:szCs w:val="20"/>
              </w:rPr>
            </w:pPr>
            <w:r w:rsidRPr="00696597">
              <w:rPr>
                <w:sz w:val="20"/>
                <w:szCs w:val="20"/>
              </w:rPr>
              <w:t xml:space="preserve">Министерството за животна средина и просторно планирање, набави на 2 (две) Автоматски мониторинг станици за квалитет на </w:t>
            </w:r>
            <w:proofErr w:type="spellStart"/>
            <w:r w:rsidRPr="00696597">
              <w:rPr>
                <w:sz w:val="20"/>
                <w:szCs w:val="20"/>
              </w:rPr>
              <w:t>амбиентен</w:t>
            </w:r>
            <w:proofErr w:type="spellEnd"/>
            <w:r w:rsidRPr="00696597">
              <w:rPr>
                <w:sz w:val="20"/>
                <w:szCs w:val="20"/>
              </w:rPr>
              <w:t xml:space="preserve"> воздух за потребите на Државниот автоматски мониторинг систем за квалитет на </w:t>
            </w:r>
            <w:proofErr w:type="spellStart"/>
            <w:r w:rsidRPr="00696597">
              <w:rPr>
                <w:sz w:val="20"/>
                <w:szCs w:val="20"/>
              </w:rPr>
              <w:t>амбиентен</w:t>
            </w:r>
            <w:proofErr w:type="spellEnd"/>
            <w:r w:rsidRPr="00696597">
              <w:rPr>
                <w:sz w:val="20"/>
                <w:szCs w:val="20"/>
              </w:rPr>
              <w:t xml:space="preserve"> воздух (ДАМСКАВ). Мониторинг станиците се инсталирани во општина Берово и Прилеп и истите се пуштени во функција на крајот на месец декември 2021 година.</w:t>
            </w:r>
          </w:p>
          <w:p w14:paraId="27DD64F8" w14:textId="77777777" w:rsidR="00A52A9A" w:rsidRPr="00696597" w:rsidRDefault="00A52A9A" w:rsidP="00A86A0C">
            <w:pPr>
              <w:pStyle w:val="TableContents"/>
              <w:jc w:val="both"/>
              <w:rPr>
                <w:sz w:val="20"/>
                <w:szCs w:val="20"/>
              </w:rPr>
            </w:pPr>
            <w:r w:rsidRPr="00696597">
              <w:rPr>
                <w:sz w:val="20"/>
                <w:szCs w:val="20"/>
              </w:rPr>
              <w:t xml:space="preserve">Во тек е набавка на Автоматски мониторинг станици за квалитет на </w:t>
            </w:r>
            <w:proofErr w:type="spellStart"/>
            <w:r w:rsidRPr="00696597">
              <w:rPr>
                <w:sz w:val="20"/>
                <w:szCs w:val="20"/>
              </w:rPr>
              <w:t>амбиентен</w:t>
            </w:r>
            <w:proofErr w:type="spellEnd"/>
            <w:r w:rsidRPr="00696597">
              <w:rPr>
                <w:sz w:val="20"/>
                <w:szCs w:val="20"/>
              </w:rPr>
              <w:t xml:space="preserve"> воздух за потребите на Државниот автоматски мониторинг систем за квалитет на </w:t>
            </w:r>
            <w:proofErr w:type="spellStart"/>
            <w:r w:rsidRPr="00696597">
              <w:rPr>
                <w:sz w:val="20"/>
                <w:szCs w:val="20"/>
              </w:rPr>
              <w:t>амбиентен</w:t>
            </w:r>
            <w:proofErr w:type="spellEnd"/>
            <w:r w:rsidRPr="00696597">
              <w:rPr>
                <w:sz w:val="20"/>
                <w:szCs w:val="20"/>
              </w:rPr>
              <w:t xml:space="preserve"> воздух (ДАМСКАВ) која ќе биде инсталирана во Охрид. Склучен е договор со избраната компанија и се очекува инсталацијата на станицата да заврши до крајот на месец октомври 2022. Направен е избор на локацијата во Охрид во соработка со претст</w:t>
            </w:r>
            <w:r>
              <w:rPr>
                <w:sz w:val="20"/>
                <w:szCs w:val="20"/>
              </w:rPr>
              <w:t>а</w:t>
            </w:r>
            <w:r w:rsidRPr="00696597">
              <w:rPr>
                <w:sz w:val="20"/>
                <w:szCs w:val="20"/>
              </w:rPr>
              <w:t xml:space="preserve">вниците на општина Охрид и со обезбедена ружа на ветрови од УХМР. Сите подготвителни градежни активности на локацијата се завршени, односно изграден е бетонски фундамент, обезбеден е приклучок за електрична енергија и сите административни документи се </w:t>
            </w:r>
            <w:r w:rsidRPr="00696597">
              <w:rPr>
                <w:sz w:val="20"/>
                <w:szCs w:val="20"/>
              </w:rPr>
              <w:lastRenderedPageBreak/>
              <w:t>обезбедени. Мониторинг станицата е инсталирана и пуштена во функција до крајот на месец ноември 2022 година.</w:t>
            </w:r>
          </w:p>
        </w:tc>
      </w:tr>
      <w:tr w:rsidR="00A52A9A" w14:paraId="0CA51165" w14:textId="77777777" w:rsidTr="00A86A0C">
        <w:tc>
          <w:tcPr>
            <w:tcW w:w="4040" w:type="dxa"/>
            <w:tcBorders>
              <w:top w:val="single" w:sz="8" w:space="0" w:color="000001"/>
              <w:left w:val="single" w:sz="8" w:space="0" w:color="000001"/>
              <w:bottom w:val="single" w:sz="8" w:space="0" w:color="000001"/>
              <w:right w:val="single" w:sz="8" w:space="0" w:color="000001"/>
            </w:tcBorders>
            <w:shd w:val="clear" w:color="auto" w:fill="DEEAF6"/>
          </w:tcPr>
          <w:p w14:paraId="3F5C3836" w14:textId="77777777" w:rsidR="00A52A9A" w:rsidRDefault="00A52A9A" w:rsidP="00A86A0C">
            <w:pPr>
              <w:pStyle w:val="TableContents"/>
              <w:spacing w:after="0"/>
              <w:jc w:val="both"/>
            </w:pPr>
            <w:r>
              <w:rPr>
                <w:b/>
                <w:sz w:val="20"/>
              </w:rPr>
              <w:lastRenderedPageBreak/>
              <w:t>5.2.2 Поправка на инструментите за PM 10 честички и инсталирање на нови инструменти за PM2.5 кај оние мерни станици кои не се во функција со цел избегнување на прекин во обезбедување на информации на јавноста за нивото на загадување во нивните градови</w:t>
            </w:r>
          </w:p>
        </w:tc>
        <w:tc>
          <w:tcPr>
            <w:tcW w:w="5305"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4FE5402A" w14:textId="77777777" w:rsidR="00A52A9A" w:rsidRPr="00696597" w:rsidRDefault="00A52A9A" w:rsidP="00A52A9A">
            <w:pPr>
              <w:pStyle w:val="TableContents"/>
              <w:numPr>
                <w:ilvl w:val="0"/>
                <w:numId w:val="10"/>
              </w:numPr>
              <w:tabs>
                <w:tab w:val="clear" w:pos="707"/>
                <w:tab w:val="left" w:pos="472"/>
              </w:tabs>
              <w:spacing w:after="0"/>
              <w:ind w:left="472"/>
              <w:jc w:val="both"/>
              <w:rPr>
                <w:sz w:val="20"/>
                <w:szCs w:val="20"/>
              </w:rPr>
            </w:pPr>
            <w:r w:rsidRPr="00696597">
              <w:rPr>
                <w:sz w:val="20"/>
                <w:szCs w:val="20"/>
              </w:rPr>
              <w:t xml:space="preserve">Во декември 2019 од буџетот на МЖСПП се набавија 6 автоматски анализатори за мерење на суспендирани честички PM10 и истите се поставени во мониторинг станиците Гази Баба, Лисиче, Велес, Кичево, Гостивар и Кавадарци во декември 2019 година. </w:t>
            </w:r>
          </w:p>
          <w:p w14:paraId="28DB6F37" w14:textId="77777777" w:rsidR="00A52A9A" w:rsidRPr="00696597" w:rsidRDefault="00A52A9A" w:rsidP="00A52A9A">
            <w:pPr>
              <w:pStyle w:val="TableContents"/>
              <w:numPr>
                <w:ilvl w:val="0"/>
                <w:numId w:val="10"/>
              </w:numPr>
              <w:tabs>
                <w:tab w:val="clear" w:pos="707"/>
                <w:tab w:val="left" w:pos="472"/>
              </w:tabs>
              <w:spacing w:after="0"/>
              <w:ind w:left="472"/>
              <w:jc w:val="both"/>
              <w:rPr>
                <w:sz w:val="20"/>
                <w:szCs w:val="20"/>
              </w:rPr>
            </w:pPr>
            <w:r w:rsidRPr="00696597">
              <w:rPr>
                <w:sz w:val="20"/>
                <w:szCs w:val="20"/>
              </w:rPr>
              <w:t xml:space="preserve">Во декември 2020 година се набавени со буџетски средства на МЖСПП, 2 автоматски анализатори за мерење на PM2.5 и истите се поставени во Лисиче и Гази Баба; </w:t>
            </w:r>
          </w:p>
          <w:p w14:paraId="0546504C" w14:textId="77777777" w:rsidR="00A52A9A" w:rsidRPr="00696597" w:rsidRDefault="00A52A9A" w:rsidP="00A52A9A">
            <w:pPr>
              <w:pStyle w:val="TableContents"/>
              <w:numPr>
                <w:ilvl w:val="0"/>
                <w:numId w:val="10"/>
              </w:numPr>
              <w:tabs>
                <w:tab w:val="clear" w:pos="707"/>
                <w:tab w:val="left" w:pos="472"/>
              </w:tabs>
              <w:spacing w:after="0"/>
              <w:ind w:left="472"/>
              <w:jc w:val="both"/>
              <w:rPr>
                <w:sz w:val="20"/>
                <w:szCs w:val="20"/>
              </w:rPr>
            </w:pPr>
            <w:r w:rsidRPr="00696597">
              <w:rPr>
                <w:sz w:val="20"/>
                <w:szCs w:val="20"/>
              </w:rPr>
              <w:t xml:space="preserve">Со финансиски средства обезбедени од Шведската влада во април 2021 година се набавени 8 инструменти за мерење на концентрацијата на PM2.5 и истите се поставени на 8 локации Скопје: Ректорат и Миладиновци, Гостивар, Кичево, Велес и Струмица и се набавени 4 инструменти за РМ10 поставени во Ректорат, Миладиновци, Кочани и Струмица. </w:t>
            </w:r>
          </w:p>
          <w:p w14:paraId="758339BD" w14:textId="77777777" w:rsidR="00A52A9A" w:rsidRPr="00696597" w:rsidRDefault="00A52A9A" w:rsidP="00A52A9A">
            <w:pPr>
              <w:pStyle w:val="TableContents"/>
              <w:numPr>
                <w:ilvl w:val="0"/>
                <w:numId w:val="10"/>
              </w:numPr>
              <w:tabs>
                <w:tab w:val="clear" w:pos="707"/>
                <w:tab w:val="left" w:pos="472"/>
              </w:tabs>
              <w:spacing w:after="0"/>
              <w:ind w:left="472"/>
              <w:jc w:val="both"/>
              <w:rPr>
                <w:sz w:val="20"/>
                <w:szCs w:val="20"/>
              </w:rPr>
            </w:pPr>
            <w:r w:rsidRPr="00696597">
              <w:rPr>
                <w:sz w:val="20"/>
                <w:szCs w:val="20"/>
              </w:rPr>
              <w:t xml:space="preserve">Инструменти за мерење на концентрациите на PM10 и PM2.5 се поставени во Прилеп и Берово во декември 2021 година. </w:t>
            </w:r>
          </w:p>
          <w:p w14:paraId="464B0876" w14:textId="77777777" w:rsidR="00A52A9A" w:rsidRPr="00696597" w:rsidRDefault="00A52A9A" w:rsidP="00A52A9A">
            <w:pPr>
              <w:pStyle w:val="TableContents"/>
              <w:numPr>
                <w:ilvl w:val="0"/>
                <w:numId w:val="10"/>
              </w:numPr>
              <w:tabs>
                <w:tab w:val="clear" w:pos="707"/>
                <w:tab w:val="left" w:pos="472"/>
              </w:tabs>
              <w:spacing w:after="0"/>
              <w:ind w:left="472"/>
              <w:jc w:val="both"/>
              <w:rPr>
                <w:sz w:val="20"/>
                <w:szCs w:val="20"/>
              </w:rPr>
            </w:pPr>
            <w:r w:rsidRPr="00696597">
              <w:rPr>
                <w:sz w:val="20"/>
                <w:szCs w:val="20"/>
              </w:rPr>
              <w:t xml:space="preserve">Набавка на инструмент за РМ2.5 за Лазарополе е планирана во рамките на проект за набавка на опрема финансиран од ИПА 2 програмата, за кој е подготвена целокупната тендерска документација, се чека на одобрување на документацијата од Делегацијата на ЕУ. </w:t>
            </w:r>
          </w:p>
          <w:p w14:paraId="479079FF" w14:textId="77777777" w:rsidR="00A52A9A" w:rsidRPr="00142F34" w:rsidRDefault="00A52A9A" w:rsidP="00A52A9A">
            <w:pPr>
              <w:pStyle w:val="TableContents"/>
              <w:numPr>
                <w:ilvl w:val="0"/>
                <w:numId w:val="10"/>
              </w:numPr>
              <w:tabs>
                <w:tab w:val="clear" w:pos="707"/>
                <w:tab w:val="left" w:pos="472"/>
              </w:tabs>
              <w:ind w:left="472"/>
              <w:jc w:val="both"/>
              <w:rPr>
                <w:sz w:val="20"/>
                <w:szCs w:val="20"/>
              </w:rPr>
            </w:pPr>
            <w:r w:rsidRPr="00696597">
              <w:rPr>
                <w:sz w:val="20"/>
                <w:szCs w:val="20"/>
              </w:rPr>
              <w:t xml:space="preserve">Во периодот јули-септември 2022 година саниран е мерниот инструмент за симултано мерење на PM 10 и PM 2.5 на мерниот инструмент Битола 2 и истиот во моментот обезбедува податоци од мониторинг. </w:t>
            </w:r>
          </w:p>
        </w:tc>
      </w:tr>
      <w:tr w:rsidR="00A52A9A" w14:paraId="5E7630D0" w14:textId="77777777" w:rsidTr="00A86A0C">
        <w:tc>
          <w:tcPr>
            <w:tcW w:w="4040" w:type="dxa"/>
            <w:tcBorders>
              <w:top w:val="single" w:sz="8" w:space="0" w:color="000001"/>
              <w:left w:val="single" w:sz="8" w:space="0" w:color="000001"/>
              <w:bottom w:val="single" w:sz="8" w:space="0" w:color="000001"/>
              <w:right w:val="single" w:sz="8" w:space="0" w:color="000001"/>
            </w:tcBorders>
            <w:shd w:val="clear" w:color="auto" w:fill="DEEAF6"/>
          </w:tcPr>
          <w:p w14:paraId="3398F66E" w14:textId="77777777" w:rsidR="00A52A9A" w:rsidRDefault="00A52A9A" w:rsidP="00A86A0C">
            <w:pPr>
              <w:pStyle w:val="TableContents"/>
              <w:spacing w:after="0"/>
              <w:jc w:val="both"/>
            </w:pPr>
            <w:r>
              <w:rPr>
                <w:b/>
                <w:sz w:val="20"/>
              </w:rPr>
              <w:t xml:space="preserve">5.2.3 Редовно одржување на сите мерни станици за мерење на квалитетот на воздухот како дел од државната мониторинг мрежа во државата со цел избегнување на прекин во обезбедување на информации на </w:t>
            </w:r>
            <w:r>
              <w:rPr>
                <w:b/>
                <w:sz w:val="20"/>
              </w:rPr>
              <w:lastRenderedPageBreak/>
              <w:t xml:space="preserve">јавноста за нивото на загадување во нивните градови. </w:t>
            </w:r>
          </w:p>
        </w:tc>
        <w:tc>
          <w:tcPr>
            <w:tcW w:w="5305"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0E32B048" w14:textId="77777777" w:rsidR="00A52A9A" w:rsidRPr="00696597" w:rsidRDefault="00A52A9A" w:rsidP="00A86A0C">
            <w:pPr>
              <w:pStyle w:val="TableContents"/>
              <w:jc w:val="both"/>
              <w:rPr>
                <w:sz w:val="20"/>
                <w:szCs w:val="20"/>
              </w:rPr>
            </w:pPr>
            <w:r w:rsidRPr="00696597">
              <w:rPr>
                <w:rStyle w:val="Strong"/>
                <w:sz w:val="20"/>
                <w:szCs w:val="20"/>
              </w:rPr>
              <w:lastRenderedPageBreak/>
              <w:t>2019</w:t>
            </w:r>
          </w:p>
          <w:p w14:paraId="49A17739" w14:textId="77777777" w:rsidR="00A52A9A" w:rsidRPr="00696597" w:rsidRDefault="00A52A9A" w:rsidP="00A86A0C">
            <w:pPr>
              <w:pStyle w:val="TableContents"/>
              <w:jc w:val="both"/>
              <w:rPr>
                <w:sz w:val="20"/>
                <w:szCs w:val="20"/>
              </w:rPr>
            </w:pPr>
            <w:r w:rsidRPr="00696597">
              <w:rPr>
                <w:sz w:val="20"/>
                <w:szCs w:val="20"/>
              </w:rPr>
              <w:t xml:space="preserve">Набавени 6 автоматски анализатори за мерење на суспендирани честички PM10 и 6 дата </w:t>
            </w:r>
            <w:proofErr w:type="spellStart"/>
            <w:r w:rsidRPr="00696597">
              <w:rPr>
                <w:sz w:val="20"/>
                <w:szCs w:val="20"/>
              </w:rPr>
              <w:t>логери</w:t>
            </w:r>
            <w:proofErr w:type="spellEnd"/>
            <w:r w:rsidRPr="00696597">
              <w:rPr>
                <w:sz w:val="20"/>
                <w:szCs w:val="20"/>
              </w:rPr>
              <w:t xml:space="preserve">. Инструментите за PM10 се поставени во мониторинг </w:t>
            </w:r>
            <w:r w:rsidRPr="00696597">
              <w:rPr>
                <w:sz w:val="20"/>
                <w:szCs w:val="20"/>
              </w:rPr>
              <w:lastRenderedPageBreak/>
              <w:t>станиците Гази Баба, Лисиче, Велес, Кичево, Гостивар и Кавадарци во декември 2019 година.</w:t>
            </w:r>
          </w:p>
          <w:p w14:paraId="5267A0F8" w14:textId="77777777" w:rsidR="00A52A9A" w:rsidRPr="00696597" w:rsidRDefault="00A52A9A" w:rsidP="00A86A0C">
            <w:pPr>
              <w:pStyle w:val="TableContents"/>
              <w:jc w:val="both"/>
              <w:rPr>
                <w:sz w:val="20"/>
                <w:szCs w:val="20"/>
              </w:rPr>
            </w:pPr>
            <w:r w:rsidRPr="00696597">
              <w:rPr>
                <w:rStyle w:val="Strong"/>
                <w:sz w:val="20"/>
                <w:szCs w:val="20"/>
              </w:rPr>
              <w:t>2020</w:t>
            </w:r>
          </w:p>
          <w:p w14:paraId="6C972D12" w14:textId="77777777" w:rsidR="00A52A9A" w:rsidRPr="00696597" w:rsidRDefault="00A52A9A" w:rsidP="00A86A0C">
            <w:pPr>
              <w:pStyle w:val="TableContents"/>
              <w:jc w:val="both"/>
              <w:rPr>
                <w:sz w:val="20"/>
                <w:szCs w:val="20"/>
              </w:rPr>
            </w:pPr>
            <w:r w:rsidRPr="00696597">
              <w:rPr>
                <w:sz w:val="20"/>
                <w:szCs w:val="20"/>
              </w:rPr>
              <w:t xml:space="preserve">Се спроведе постапка за набавка на мерни инструменти со што се изврши модернизација и замена на дел од мерните инструменти од веќе </w:t>
            </w:r>
            <w:proofErr w:type="spellStart"/>
            <w:r w:rsidRPr="00696597">
              <w:rPr>
                <w:sz w:val="20"/>
                <w:szCs w:val="20"/>
              </w:rPr>
              <w:t>постоечките</w:t>
            </w:r>
            <w:proofErr w:type="spellEnd"/>
            <w:r w:rsidRPr="00696597">
              <w:rPr>
                <w:sz w:val="20"/>
                <w:szCs w:val="20"/>
              </w:rPr>
              <w:t xml:space="preserve"> автоматски мониторинг станици за квалитет на </w:t>
            </w:r>
            <w:proofErr w:type="spellStart"/>
            <w:r w:rsidRPr="00696597">
              <w:rPr>
                <w:sz w:val="20"/>
                <w:szCs w:val="20"/>
              </w:rPr>
              <w:t>амбиентен</w:t>
            </w:r>
            <w:proofErr w:type="spellEnd"/>
            <w:r w:rsidRPr="00696597">
              <w:rPr>
                <w:sz w:val="20"/>
                <w:szCs w:val="20"/>
              </w:rPr>
              <w:t xml:space="preserve"> воздух. Испораката на мерните инструменти се реализираше во декември 2020 година. Имено се набавени:</w:t>
            </w:r>
          </w:p>
          <w:p w14:paraId="7EA909B7" w14:textId="77777777" w:rsidR="00A52A9A" w:rsidRPr="00696597" w:rsidRDefault="00A52A9A" w:rsidP="00A52A9A">
            <w:pPr>
              <w:pStyle w:val="TableContents"/>
              <w:numPr>
                <w:ilvl w:val="0"/>
                <w:numId w:val="11"/>
              </w:numPr>
              <w:tabs>
                <w:tab w:val="clear" w:pos="707"/>
              </w:tabs>
              <w:spacing w:after="0"/>
              <w:ind w:left="472"/>
              <w:jc w:val="both"/>
              <w:rPr>
                <w:sz w:val="20"/>
                <w:szCs w:val="20"/>
              </w:rPr>
            </w:pPr>
            <w:r w:rsidRPr="00696597">
              <w:rPr>
                <w:sz w:val="20"/>
                <w:szCs w:val="20"/>
              </w:rPr>
              <w:t>7 анализатори за озон (O</w:t>
            </w:r>
            <w:r w:rsidRPr="00696597">
              <w:rPr>
                <w:position w:val="-8"/>
                <w:sz w:val="20"/>
                <w:szCs w:val="20"/>
              </w:rPr>
              <w:t>3</w:t>
            </w:r>
            <w:r w:rsidRPr="00696597">
              <w:rPr>
                <w:sz w:val="20"/>
                <w:szCs w:val="20"/>
              </w:rPr>
              <w:t xml:space="preserve">) поставени во мониторинг станиците: Лисиче, Гази Баба, Ректорат, Кочани, Кавадарци, Кичево, Гостивар; </w:t>
            </w:r>
          </w:p>
          <w:p w14:paraId="35E6AD30" w14:textId="77777777" w:rsidR="00A52A9A" w:rsidRPr="00696597" w:rsidRDefault="00A52A9A" w:rsidP="00A52A9A">
            <w:pPr>
              <w:pStyle w:val="TableContents"/>
              <w:numPr>
                <w:ilvl w:val="0"/>
                <w:numId w:val="11"/>
              </w:numPr>
              <w:tabs>
                <w:tab w:val="clear" w:pos="707"/>
              </w:tabs>
              <w:spacing w:after="0"/>
              <w:ind w:left="472"/>
              <w:jc w:val="both"/>
              <w:rPr>
                <w:sz w:val="20"/>
                <w:szCs w:val="20"/>
              </w:rPr>
            </w:pPr>
            <w:r w:rsidRPr="00696597">
              <w:rPr>
                <w:sz w:val="20"/>
                <w:szCs w:val="20"/>
              </w:rPr>
              <w:t>7 анализатори за сулфур диоксид (SO</w:t>
            </w:r>
            <w:r w:rsidRPr="00696597">
              <w:rPr>
                <w:position w:val="-8"/>
                <w:sz w:val="20"/>
                <w:szCs w:val="20"/>
              </w:rPr>
              <w:t>2</w:t>
            </w:r>
            <w:r w:rsidRPr="00696597">
              <w:rPr>
                <w:sz w:val="20"/>
                <w:szCs w:val="20"/>
              </w:rPr>
              <w:t xml:space="preserve">) поставени во мониторинг станиците: Лисиче, Гази Баба, Куманово, Битола 2, Кавадарци, Кичево и Гостивар; </w:t>
            </w:r>
          </w:p>
          <w:p w14:paraId="6D8EE014" w14:textId="77777777" w:rsidR="00A52A9A" w:rsidRPr="00696597" w:rsidRDefault="00A52A9A" w:rsidP="00A52A9A">
            <w:pPr>
              <w:pStyle w:val="TableContents"/>
              <w:numPr>
                <w:ilvl w:val="0"/>
                <w:numId w:val="11"/>
              </w:numPr>
              <w:tabs>
                <w:tab w:val="clear" w:pos="707"/>
              </w:tabs>
              <w:spacing w:after="0"/>
              <w:ind w:left="472"/>
              <w:jc w:val="both"/>
              <w:rPr>
                <w:sz w:val="20"/>
                <w:szCs w:val="20"/>
              </w:rPr>
            </w:pPr>
            <w:r w:rsidRPr="00696597">
              <w:rPr>
                <w:sz w:val="20"/>
                <w:szCs w:val="20"/>
              </w:rPr>
              <w:t xml:space="preserve">7 анализатори за јаглерод моноксид (CO) поставени во мониторинг станиците: Гази Баба, Ректорат, Куманово, Битола 2, Кавадарци, Кичево и Гостивар; </w:t>
            </w:r>
          </w:p>
          <w:p w14:paraId="1D3750B6" w14:textId="77777777" w:rsidR="00A52A9A" w:rsidRPr="00696597" w:rsidRDefault="00A52A9A" w:rsidP="00A52A9A">
            <w:pPr>
              <w:pStyle w:val="TableContents"/>
              <w:numPr>
                <w:ilvl w:val="0"/>
                <w:numId w:val="11"/>
              </w:numPr>
              <w:tabs>
                <w:tab w:val="clear" w:pos="707"/>
              </w:tabs>
              <w:spacing w:after="0"/>
              <w:ind w:left="472"/>
              <w:jc w:val="both"/>
              <w:rPr>
                <w:sz w:val="20"/>
                <w:szCs w:val="20"/>
              </w:rPr>
            </w:pPr>
            <w:r w:rsidRPr="00696597">
              <w:rPr>
                <w:sz w:val="20"/>
                <w:szCs w:val="20"/>
              </w:rPr>
              <w:t xml:space="preserve">6 сета метеоролошка опрема / сензори поставени во мониторинг станиците: Миладиновци, Кочани, Струмица, Кавадарци, Кичево и Гостивар; </w:t>
            </w:r>
          </w:p>
          <w:p w14:paraId="6E2009E4" w14:textId="77777777" w:rsidR="00A52A9A" w:rsidRPr="00696597" w:rsidRDefault="00A52A9A" w:rsidP="00A52A9A">
            <w:pPr>
              <w:pStyle w:val="TableContents"/>
              <w:numPr>
                <w:ilvl w:val="0"/>
                <w:numId w:val="11"/>
              </w:numPr>
              <w:tabs>
                <w:tab w:val="clear" w:pos="707"/>
              </w:tabs>
              <w:spacing w:after="0"/>
              <w:ind w:left="472"/>
              <w:jc w:val="both"/>
              <w:rPr>
                <w:sz w:val="20"/>
                <w:szCs w:val="20"/>
              </w:rPr>
            </w:pPr>
            <w:r w:rsidRPr="00696597">
              <w:rPr>
                <w:sz w:val="20"/>
                <w:szCs w:val="20"/>
              </w:rPr>
              <w:t xml:space="preserve">2 автоматски анализатори за мерење на5 поставени во Лисиче и Гази Баба; </w:t>
            </w:r>
          </w:p>
          <w:p w14:paraId="5E285D5F" w14:textId="77777777" w:rsidR="00A52A9A" w:rsidRPr="00696597" w:rsidRDefault="00A52A9A" w:rsidP="00A52A9A">
            <w:pPr>
              <w:pStyle w:val="TableContents"/>
              <w:numPr>
                <w:ilvl w:val="0"/>
                <w:numId w:val="11"/>
              </w:numPr>
              <w:tabs>
                <w:tab w:val="clear" w:pos="707"/>
              </w:tabs>
              <w:spacing w:after="0"/>
              <w:ind w:left="472"/>
              <w:jc w:val="both"/>
              <w:rPr>
                <w:sz w:val="20"/>
                <w:szCs w:val="20"/>
              </w:rPr>
            </w:pPr>
            <w:r w:rsidRPr="00696597">
              <w:rPr>
                <w:sz w:val="20"/>
                <w:szCs w:val="20"/>
              </w:rPr>
              <w:t xml:space="preserve">2 автоматски </w:t>
            </w:r>
            <w:proofErr w:type="spellStart"/>
            <w:r w:rsidRPr="00696597">
              <w:rPr>
                <w:sz w:val="20"/>
                <w:szCs w:val="20"/>
              </w:rPr>
              <w:t>секвенцијални</w:t>
            </w:r>
            <w:proofErr w:type="spellEnd"/>
            <w:r w:rsidRPr="00696597">
              <w:rPr>
                <w:sz w:val="20"/>
                <w:szCs w:val="20"/>
              </w:rPr>
              <w:t xml:space="preserve"> стандардни / референтни ниско волуменски семплери за мерење на суспендирани честички (со PM10, PM2.5, PM1 влезови/глави за земање примероци) поставени во мониторинг станиците: Кавадарци и Кичево; </w:t>
            </w:r>
          </w:p>
          <w:p w14:paraId="4D92F4EE" w14:textId="77777777" w:rsidR="00A52A9A" w:rsidRPr="00696597" w:rsidRDefault="00A52A9A" w:rsidP="00A52A9A">
            <w:pPr>
              <w:pStyle w:val="TableContents"/>
              <w:numPr>
                <w:ilvl w:val="0"/>
                <w:numId w:val="11"/>
              </w:numPr>
              <w:tabs>
                <w:tab w:val="clear" w:pos="707"/>
              </w:tabs>
              <w:ind w:left="472"/>
              <w:jc w:val="both"/>
              <w:rPr>
                <w:sz w:val="20"/>
                <w:szCs w:val="20"/>
              </w:rPr>
            </w:pPr>
            <w:proofErr w:type="spellStart"/>
            <w:r w:rsidRPr="00696597">
              <w:rPr>
                <w:sz w:val="20"/>
                <w:szCs w:val="20"/>
              </w:rPr>
              <w:t>Калибрациона</w:t>
            </w:r>
            <w:proofErr w:type="spellEnd"/>
            <w:r w:rsidRPr="00696597">
              <w:rPr>
                <w:sz w:val="20"/>
                <w:szCs w:val="20"/>
              </w:rPr>
              <w:t xml:space="preserve"> кула за калибрација на автоматски анализатор за мерење на суспендирани честички PM10 и5; </w:t>
            </w:r>
          </w:p>
          <w:p w14:paraId="19CB2C20" w14:textId="77777777" w:rsidR="00A52A9A" w:rsidRPr="00696597" w:rsidRDefault="00A52A9A" w:rsidP="00A86A0C">
            <w:pPr>
              <w:pStyle w:val="TableContents"/>
              <w:jc w:val="both"/>
              <w:rPr>
                <w:sz w:val="20"/>
                <w:szCs w:val="20"/>
              </w:rPr>
            </w:pPr>
            <w:r w:rsidRPr="00696597">
              <w:rPr>
                <w:sz w:val="20"/>
                <w:szCs w:val="20"/>
              </w:rPr>
              <w:t xml:space="preserve">Во октомври 2020 година се набави нова автоматска мониторинг станица за квалитет на </w:t>
            </w:r>
            <w:proofErr w:type="spellStart"/>
            <w:r w:rsidRPr="00696597">
              <w:rPr>
                <w:sz w:val="20"/>
                <w:szCs w:val="20"/>
              </w:rPr>
              <w:t>амбиентен</w:t>
            </w:r>
            <w:proofErr w:type="spellEnd"/>
            <w:r w:rsidRPr="00696597">
              <w:rPr>
                <w:sz w:val="20"/>
                <w:szCs w:val="20"/>
              </w:rPr>
              <w:t xml:space="preserve"> воздух и истата се постави во Општина Гевгелија и се заменија сите постоечки мерни инструменти и се </w:t>
            </w:r>
            <w:r w:rsidRPr="00696597">
              <w:rPr>
                <w:sz w:val="20"/>
                <w:szCs w:val="20"/>
              </w:rPr>
              <w:lastRenderedPageBreak/>
              <w:t>инсталираа два дополнителни во мониторинг станицата Битола 1.</w:t>
            </w:r>
          </w:p>
          <w:p w14:paraId="22687D0D" w14:textId="77777777" w:rsidR="00A52A9A" w:rsidRPr="00696597" w:rsidRDefault="00A52A9A" w:rsidP="00A86A0C">
            <w:pPr>
              <w:pStyle w:val="TableContents"/>
              <w:jc w:val="both"/>
              <w:rPr>
                <w:sz w:val="20"/>
                <w:szCs w:val="20"/>
              </w:rPr>
            </w:pPr>
            <w:r w:rsidRPr="00696597">
              <w:rPr>
                <w:rStyle w:val="Strong"/>
                <w:sz w:val="20"/>
                <w:szCs w:val="20"/>
              </w:rPr>
              <w:t>2021</w:t>
            </w:r>
          </w:p>
          <w:p w14:paraId="1D9222C2" w14:textId="77777777" w:rsidR="00A52A9A" w:rsidRPr="00696597" w:rsidRDefault="00A52A9A" w:rsidP="00A86A0C">
            <w:pPr>
              <w:pStyle w:val="TableContents"/>
              <w:jc w:val="both"/>
              <w:rPr>
                <w:sz w:val="20"/>
                <w:szCs w:val="20"/>
              </w:rPr>
            </w:pPr>
            <w:r w:rsidRPr="00696597">
              <w:rPr>
                <w:sz w:val="20"/>
                <w:szCs w:val="20"/>
              </w:rPr>
              <w:t>Извршена надградба на системот за управување со податоци AIRVIRО и се изврши набавка на инструменти за замена на дел од застарените инструменти од мониторинг станиците за квалитет на воздух:</w:t>
            </w:r>
          </w:p>
          <w:p w14:paraId="0A4C2773" w14:textId="77777777" w:rsidR="00A52A9A" w:rsidRPr="00696597" w:rsidRDefault="00A52A9A" w:rsidP="00A52A9A">
            <w:pPr>
              <w:pStyle w:val="TableContents"/>
              <w:numPr>
                <w:ilvl w:val="0"/>
                <w:numId w:val="12"/>
              </w:numPr>
              <w:tabs>
                <w:tab w:val="clear" w:pos="707"/>
                <w:tab w:val="left" w:pos="472"/>
              </w:tabs>
              <w:spacing w:after="0"/>
              <w:ind w:left="472"/>
              <w:jc w:val="both"/>
              <w:rPr>
                <w:sz w:val="20"/>
                <w:szCs w:val="20"/>
              </w:rPr>
            </w:pPr>
            <w:r w:rsidRPr="00696597">
              <w:rPr>
                <w:sz w:val="20"/>
                <w:szCs w:val="20"/>
              </w:rPr>
              <w:t xml:space="preserve">4 инструменти за РМ10 поставени во Ректорат, Миладиновци, Кочани и Струмица; </w:t>
            </w:r>
          </w:p>
          <w:p w14:paraId="26921862" w14:textId="77777777" w:rsidR="00A52A9A" w:rsidRPr="00696597" w:rsidRDefault="00A52A9A" w:rsidP="00A52A9A">
            <w:pPr>
              <w:pStyle w:val="TableContents"/>
              <w:numPr>
                <w:ilvl w:val="0"/>
                <w:numId w:val="12"/>
              </w:numPr>
              <w:tabs>
                <w:tab w:val="clear" w:pos="707"/>
                <w:tab w:val="left" w:pos="472"/>
              </w:tabs>
              <w:spacing w:after="0"/>
              <w:ind w:left="472"/>
              <w:jc w:val="both"/>
              <w:rPr>
                <w:sz w:val="20"/>
                <w:szCs w:val="20"/>
              </w:rPr>
            </w:pPr>
            <w:r w:rsidRPr="00696597">
              <w:rPr>
                <w:sz w:val="20"/>
                <w:szCs w:val="20"/>
              </w:rPr>
              <w:t xml:space="preserve">8 инструменти за РМ5 поставени во Ректорат, Миладиновци, Кочани, Струмица, Велес, Кавадарци, Кичево и Гостивар; </w:t>
            </w:r>
          </w:p>
          <w:p w14:paraId="4DBE2485" w14:textId="77777777" w:rsidR="00A52A9A" w:rsidRPr="00696597" w:rsidRDefault="00A52A9A" w:rsidP="00A52A9A">
            <w:pPr>
              <w:pStyle w:val="TableContents"/>
              <w:numPr>
                <w:ilvl w:val="0"/>
                <w:numId w:val="12"/>
              </w:numPr>
              <w:tabs>
                <w:tab w:val="clear" w:pos="707"/>
                <w:tab w:val="left" w:pos="472"/>
              </w:tabs>
              <w:spacing w:after="0"/>
              <w:ind w:left="472"/>
              <w:jc w:val="both"/>
              <w:rPr>
                <w:sz w:val="20"/>
                <w:szCs w:val="20"/>
              </w:rPr>
            </w:pPr>
            <w:r w:rsidRPr="00696597">
              <w:rPr>
                <w:sz w:val="20"/>
                <w:szCs w:val="20"/>
              </w:rPr>
              <w:t xml:space="preserve">8 инструменти за азотни оксиди поставени во Ректорат, Миладиновци, Кочани, Струмица, Велес, Кавадарци, Кичево и Гостивар; </w:t>
            </w:r>
          </w:p>
          <w:p w14:paraId="128BCFA5" w14:textId="77777777" w:rsidR="00A52A9A" w:rsidRPr="00696597" w:rsidRDefault="00A52A9A" w:rsidP="00A52A9A">
            <w:pPr>
              <w:pStyle w:val="TableContents"/>
              <w:numPr>
                <w:ilvl w:val="0"/>
                <w:numId w:val="12"/>
              </w:numPr>
              <w:tabs>
                <w:tab w:val="clear" w:pos="707"/>
                <w:tab w:val="left" w:pos="472"/>
              </w:tabs>
              <w:spacing w:after="0"/>
              <w:ind w:left="472"/>
              <w:jc w:val="both"/>
              <w:rPr>
                <w:sz w:val="20"/>
                <w:szCs w:val="20"/>
              </w:rPr>
            </w:pPr>
            <w:r w:rsidRPr="00696597">
              <w:rPr>
                <w:sz w:val="20"/>
                <w:szCs w:val="20"/>
              </w:rPr>
              <w:t xml:space="preserve">2 инструменти за озон поставени во Миладиновци и Струмица; </w:t>
            </w:r>
          </w:p>
          <w:p w14:paraId="18A9B1CE" w14:textId="77777777" w:rsidR="00A52A9A" w:rsidRPr="00696597" w:rsidRDefault="00A52A9A" w:rsidP="00A52A9A">
            <w:pPr>
              <w:pStyle w:val="TableContents"/>
              <w:numPr>
                <w:ilvl w:val="0"/>
                <w:numId w:val="12"/>
              </w:numPr>
              <w:tabs>
                <w:tab w:val="clear" w:pos="707"/>
                <w:tab w:val="left" w:pos="472"/>
              </w:tabs>
              <w:ind w:left="472"/>
              <w:jc w:val="both"/>
              <w:rPr>
                <w:sz w:val="20"/>
                <w:szCs w:val="20"/>
              </w:rPr>
            </w:pPr>
            <w:r w:rsidRPr="00696597">
              <w:rPr>
                <w:sz w:val="20"/>
                <w:szCs w:val="20"/>
              </w:rPr>
              <w:t xml:space="preserve">4 дата </w:t>
            </w:r>
            <w:proofErr w:type="spellStart"/>
            <w:r w:rsidRPr="00696597">
              <w:rPr>
                <w:sz w:val="20"/>
                <w:szCs w:val="20"/>
              </w:rPr>
              <w:t>логери</w:t>
            </w:r>
            <w:proofErr w:type="spellEnd"/>
            <w:r w:rsidRPr="00696597">
              <w:rPr>
                <w:sz w:val="20"/>
                <w:szCs w:val="20"/>
              </w:rPr>
              <w:t xml:space="preserve"> поставени во Ректорат, Миладиновци, Кочани и Струмица. </w:t>
            </w:r>
          </w:p>
          <w:p w14:paraId="4116DC8A" w14:textId="77777777" w:rsidR="00A52A9A" w:rsidRPr="00696597" w:rsidRDefault="00A52A9A" w:rsidP="00A86A0C">
            <w:pPr>
              <w:pStyle w:val="TableContents"/>
              <w:jc w:val="both"/>
              <w:rPr>
                <w:sz w:val="20"/>
                <w:szCs w:val="20"/>
              </w:rPr>
            </w:pPr>
            <w:r w:rsidRPr="00696597">
              <w:rPr>
                <w:sz w:val="20"/>
                <w:szCs w:val="20"/>
              </w:rPr>
              <w:t xml:space="preserve">Во јануари 2021 година се изврши набавки на 4 </w:t>
            </w:r>
            <w:proofErr w:type="spellStart"/>
            <w:r w:rsidRPr="00696597">
              <w:rPr>
                <w:sz w:val="20"/>
                <w:szCs w:val="20"/>
              </w:rPr>
              <w:t>нисковолуменски</w:t>
            </w:r>
            <w:proofErr w:type="spellEnd"/>
            <w:r w:rsidRPr="00696597">
              <w:rPr>
                <w:sz w:val="20"/>
                <w:szCs w:val="20"/>
              </w:rPr>
              <w:t xml:space="preserve"> уреди за земање на примероци од воздух.</w:t>
            </w:r>
          </w:p>
          <w:p w14:paraId="25177685" w14:textId="77777777" w:rsidR="00A52A9A" w:rsidRPr="00696597" w:rsidRDefault="00A52A9A" w:rsidP="00A86A0C">
            <w:pPr>
              <w:pStyle w:val="TableContents"/>
              <w:jc w:val="both"/>
              <w:rPr>
                <w:sz w:val="20"/>
                <w:szCs w:val="20"/>
              </w:rPr>
            </w:pPr>
            <w:r w:rsidRPr="00696597">
              <w:rPr>
                <w:sz w:val="20"/>
                <w:szCs w:val="20"/>
              </w:rPr>
              <w:t xml:space="preserve">Се набавија 8 нови мерни инструменти со кои се заменија </w:t>
            </w:r>
            <w:proofErr w:type="spellStart"/>
            <w:r w:rsidRPr="00696597">
              <w:rPr>
                <w:sz w:val="20"/>
                <w:szCs w:val="20"/>
              </w:rPr>
              <w:t>постоечките</w:t>
            </w:r>
            <w:proofErr w:type="spellEnd"/>
            <w:r w:rsidRPr="00696597">
              <w:rPr>
                <w:sz w:val="20"/>
                <w:szCs w:val="20"/>
              </w:rPr>
              <w:t xml:space="preserve"> застарени инструменти. Инструментите се инсталирани во декември 2021 година:</w:t>
            </w:r>
          </w:p>
          <w:p w14:paraId="102AA4BC" w14:textId="77777777" w:rsidR="00A52A9A" w:rsidRPr="00696597" w:rsidRDefault="00A52A9A" w:rsidP="00A52A9A">
            <w:pPr>
              <w:pStyle w:val="TableContents"/>
              <w:numPr>
                <w:ilvl w:val="0"/>
                <w:numId w:val="13"/>
              </w:numPr>
              <w:tabs>
                <w:tab w:val="clear" w:pos="707"/>
                <w:tab w:val="left" w:pos="472"/>
              </w:tabs>
              <w:spacing w:after="0"/>
              <w:ind w:left="472"/>
              <w:jc w:val="both"/>
              <w:rPr>
                <w:sz w:val="20"/>
                <w:szCs w:val="20"/>
              </w:rPr>
            </w:pPr>
            <w:r w:rsidRPr="00696597">
              <w:rPr>
                <w:sz w:val="20"/>
                <w:szCs w:val="20"/>
              </w:rPr>
              <w:t xml:space="preserve">3 инструменти за јаглерод моноксид поставени во Миладиновци, Кочани и Струмица </w:t>
            </w:r>
          </w:p>
          <w:p w14:paraId="4EFE80A9" w14:textId="77777777" w:rsidR="00A52A9A" w:rsidRPr="00696597" w:rsidRDefault="00A52A9A" w:rsidP="00A52A9A">
            <w:pPr>
              <w:pStyle w:val="TableContents"/>
              <w:numPr>
                <w:ilvl w:val="0"/>
                <w:numId w:val="13"/>
              </w:numPr>
              <w:tabs>
                <w:tab w:val="clear" w:pos="707"/>
                <w:tab w:val="left" w:pos="472"/>
              </w:tabs>
              <w:spacing w:after="0"/>
              <w:ind w:left="472"/>
              <w:jc w:val="both"/>
              <w:rPr>
                <w:sz w:val="20"/>
                <w:szCs w:val="20"/>
              </w:rPr>
            </w:pPr>
            <w:r w:rsidRPr="00696597">
              <w:rPr>
                <w:sz w:val="20"/>
                <w:szCs w:val="20"/>
              </w:rPr>
              <w:t xml:space="preserve">4 инструменти за сулфур диоксид поставени во Миладиновци, Кочани, Струмица и Велес </w:t>
            </w:r>
          </w:p>
          <w:p w14:paraId="149AAE5C" w14:textId="77777777" w:rsidR="00A52A9A" w:rsidRPr="00696597" w:rsidRDefault="00A52A9A" w:rsidP="00A52A9A">
            <w:pPr>
              <w:pStyle w:val="TableContents"/>
              <w:numPr>
                <w:ilvl w:val="0"/>
                <w:numId w:val="13"/>
              </w:numPr>
              <w:tabs>
                <w:tab w:val="clear" w:pos="707"/>
                <w:tab w:val="left" w:pos="472"/>
              </w:tabs>
              <w:ind w:left="472"/>
              <w:jc w:val="both"/>
              <w:rPr>
                <w:sz w:val="20"/>
                <w:szCs w:val="20"/>
              </w:rPr>
            </w:pPr>
            <w:r w:rsidRPr="00696597">
              <w:rPr>
                <w:sz w:val="20"/>
                <w:szCs w:val="20"/>
              </w:rPr>
              <w:t xml:space="preserve">1 инструмент за озон поставен во Велес. </w:t>
            </w:r>
          </w:p>
          <w:p w14:paraId="0D1FC688" w14:textId="77777777" w:rsidR="00A52A9A" w:rsidRPr="00696597" w:rsidRDefault="00A52A9A" w:rsidP="00A86A0C">
            <w:pPr>
              <w:pStyle w:val="TableContents"/>
              <w:jc w:val="both"/>
              <w:rPr>
                <w:sz w:val="20"/>
                <w:szCs w:val="20"/>
              </w:rPr>
            </w:pPr>
            <w:r w:rsidRPr="00696597">
              <w:rPr>
                <w:rStyle w:val="Strong"/>
                <w:sz w:val="20"/>
                <w:szCs w:val="20"/>
              </w:rPr>
              <w:t>2022</w:t>
            </w:r>
          </w:p>
          <w:p w14:paraId="17101159" w14:textId="77777777" w:rsidR="00A52A9A" w:rsidRPr="00696597" w:rsidRDefault="00A52A9A" w:rsidP="00A86A0C">
            <w:pPr>
              <w:pStyle w:val="TableContents"/>
              <w:jc w:val="both"/>
              <w:rPr>
                <w:sz w:val="20"/>
                <w:szCs w:val="20"/>
              </w:rPr>
            </w:pPr>
            <w:r w:rsidRPr="00696597">
              <w:rPr>
                <w:sz w:val="20"/>
                <w:szCs w:val="20"/>
              </w:rPr>
              <w:t>Во текот на 2022 година се спроведе постапка за набавка на резервни делови. Испораката на деловите се реализираше во јуни 2022 година.</w:t>
            </w:r>
          </w:p>
        </w:tc>
      </w:tr>
      <w:tr w:rsidR="00A52A9A" w14:paraId="6211F57F" w14:textId="77777777" w:rsidTr="00A86A0C">
        <w:tc>
          <w:tcPr>
            <w:tcW w:w="4040" w:type="dxa"/>
            <w:tcBorders>
              <w:top w:val="single" w:sz="8" w:space="0" w:color="000001"/>
              <w:left w:val="single" w:sz="8" w:space="0" w:color="000001"/>
              <w:bottom w:val="single" w:sz="8" w:space="0" w:color="000001"/>
              <w:right w:val="single" w:sz="8" w:space="0" w:color="000001"/>
            </w:tcBorders>
            <w:shd w:val="clear" w:color="auto" w:fill="DEEAF6"/>
          </w:tcPr>
          <w:p w14:paraId="773B7F37" w14:textId="77777777" w:rsidR="00A52A9A" w:rsidRDefault="00A52A9A" w:rsidP="00A86A0C">
            <w:pPr>
              <w:pStyle w:val="TableContents"/>
              <w:spacing w:after="0"/>
              <w:jc w:val="both"/>
            </w:pPr>
            <w:r>
              <w:rPr>
                <w:b/>
                <w:sz w:val="20"/>
              </w:rPr>
              <w:lastRenderedPageBreak/>
              <w:t xml:space="preserve">5.2.4 Обезбедување на сет резервни мерни инструменти со цел </w:t>
            </w:r>
            <w:r>
              <w:rPr>
                <w:b/>
                <w:sz w:val="20"/>
              </w:rPr>
              <w:lastRenderedPageBreak/>
              <w:t xml:space="preserve">избегнување на прекин во обезбедување на информации на јавноста за нивото на загадување во нивните градови. </w:t>
            </w:r>
          </w:p>
        </w:tc>
        <w:tc>
          <w:tcPr>
            <w:tcW w:w="5305"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408C5126" w14:textId="77777777" w:rsidR="00A52A9A" w:rsidRPr="00696597" w:rsidRDefault="00A52A9A" w:rsidP="00A86A0C">
            <w:pPr>
              <w:pStyle w:val="TableContents"/>
              <w:jc w:val="both"/>
              <w:rPr>
                <w:sz w:val="20"/>
                <w:szCs w:val="20"/>
              </w:rPr>
            </w:pPr>
            <w:r w:rsidRPr="00696597">
              <w:rPr>
                <w:sz w:val="20"/>
                <w:szCs w:val="20"/>
              </w:rPr>
              <w:lastRenderedPageBreak/>
              <w:t xml:space="preserve">Ова е планирана активност во рамките на проект за набавка на опрема финансиран од ИПА 2 програмата. </w:t>
            </w:r>
            <w:r w:rsidRPr="00696597">
              <w:rPr>
                <w:sz w:val="20"/>
                <w:szCs w:val="20"/>
              </w:rPr>
              <w:lastRenderedPageBreak/>
              <w:t>Целокупната тендерска документација е подготвена. По одобрувањето на документација од Делегацијата на ЕУ истиот ќе биде објавен.</w:t>
            </w:r>
          </w:p>
        </w:tc>
      </w:tr>
      <w:tr w:rsidR="00A52A9A" w14:paraId="6C41D64E" w14:textId="77777777" w:rsidTr="00A86A0C">
        <w:tc>
          <w:tcPr>
            <w:tcW w:w="4040" w:type="dxa"/>
            <w:tcBorders>
              <w:top w:val="single" w:sz="8" w:space="0" w:color="000001"/>
              <w:left w:val="single" w:sz="8" w:space="0" w:color="000001"/>
              <w:bottom w:val="single" w:sz="8" w:space="0" w:color="000001"/>
              <w:right w:val="single" w:sz="8" w:space="0" w:color="000001"/>
            </w:tcBorders>
            <w:shd w:val="clear" w:color="auto" w:fill="DEEAF6"/>
          </w:tcPr>
          <w:p w14:paraId="6603E90B" w14:textId="77777777" w:rsidR="00A52A9A" w:rsidRDefault="00A52A9A" w:rsidP="00A86A0C">
            <w:pPr>
              <w:pStyle w:val="TableContents"/>
              <w:spacing w:after="0"/>
              <w:jc w:val="both"/>
            </w:pPr>
            <w:r>
              <w:rPr>
                <w:b/>
                <w:sz w:val="20"/>
              </w:rPr>
              <w:lastRenderedPageBreak/>
              <w:t xml:space="preserve">5.2.5 Изработка на мобилна апликација која ќе овозможи пристап до податоци за нивото на аерозагадувањето преку мобилен телефон и континуирани нотификации за граѓаните. </w:t>
            </w:r>
          </w:p>
        </w:tc>
        <w:tc>
          <w:tcPr>
            <w:tcW w:w="5305" w:type="dxa"/>
            <w:gridSpan w:val="7"/>
            <w:tcBorders>
              <w:top w:val="single" w:sz="8" w:space="0" w:color="000001"/>
              <w:left w:val="single" w:sz="8" w:space="0" w:color="000001"/>
              <w:bottom w:val="single" w:sz="8" w:space="0" w:color="000001"/>
              <w:right w:val="single" w:sz="8" w:space="0" w:color="000001"/>
            </w:tcBorders>
            <w:shd w:val="clear" w:color="auto" w:fill="auto"/>
            <w:vAlign w:val="center"/>
          </w:tcPr>
          <w:p w14:paraId="3F103804" w14:textId="77777777" w:rsidR="00A52A9A" w:rsidRPr="00696597" w:rsidRDefault="00A52A9A" w:rsidP="00A86A0C">
            <w:pPr>
              <w:pStyle w:val="TableContents"/>
              <w:jc w:val="both"/>
              <w:rPr>
                <w:sz w:val="20"/>
                <w:szCs w:val="20"/>
              </w:rPr>
            </w:pPr>
            <w:r w:rsidRPr="00696597">
              <w:rPr>
                <w:sz w:val="20"/>
                <w:szCs w:val="20"/>
              </w:rPr>
              <w:t>За оваа активност беа побарани дополнителни средства во рамките на проектите кои ги спроведува МЖСПП, но истите не беа одобрени. Во моментов се бараат средства од други донатори.</w:t>
            </w:r>
          </w:p>
        </w:tc>
      </w:tr>
    </w:tbl>
    <w:p w14:paraId="34C75AE8" w14:textId="77777777" w:rsidR="00A52A9A" w:rsidRDefault="00A52A9A" w:rsidP="00A52A9A">
      <w:pPr>
        <w:pStyle w:val="BodyText"/>
        <w:spacing w:after="0"/>
      </w:pPr>
    </w:p>
    <w:p w14:paraId="610FC84D" w14:textId="77777777" w:rsidR="00A52A9A" w:rsidRPr="003D6056" w:rsidRDefault="00A52A9A" w:rsidP="003D6056">
      <w:pPr>
        <w:rPr>
          <w:rFonts w:ascii="StobiSerif Regular" w:eastAsia="Calibri" w:hAnsi="StobiSerif Regular" w:cs="Tahoma"/>
          <w:lang w:eastAsia="en-US"/>
        </w:rPr>
      </w:pPr>
    </w:p>
    <w:sectPr w:rsidR="00A52A9A" w:rsidRPr="003D6056" w:rsidSect="003634B2">
      <w:headerReference w:type="even" r:id="rId34"/>
      <w:headerReference w:type="default" r:id="rId35"/>
      <w:footerReference w:type="default" r:id="rId36"/>
      <w:headerReference w:type="first" r:id="rId37"/>
      <w:type w:val="continuous"/>
      <w:pgSz w:w="11906" w:h="16838" w:code="9"/>
      <w:pgMar w:top="2836" w:right="1440" w:bottom="1985"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B08B" w14:textId="77777777" w:rsidR="006E1FDA" w:rsidRDefault="006E1FDA">
      <w:r>
        <w:separator/>
      </w:r>
    </w:p>
  </w:endnote>
  <w:endnote w:type="continuationSeparator" w:id="0">
    <w:p w14:paraId="44A04DC8" w14:textId="77777777" w:rsidR="006E1FDA" w:rsidRDefault="006E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StobiSans Regular">
    <w:panose1 w:val="02000503030000020004"/>
    <w:charset w:val="00"/>
    <w:family w:val="modern"/>
    <w:notTrueType/>
    <w:pitch w:val="variable"/>
    <w:sig w:usb0="A00002AF" w:usb1="5000A07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jaVu Serif">
    <w:altName w:val="Times New Roman"/>
    <w:charset w:val="00"/>
    <w:family w:val="roman"/>
    <w:pitch w:val="variable"/>
  </w:font>
  <w:font w:name="DejaVu Sans">
    <w:altName w:val="Times New Roman"/>
    <w:charset w:val="00"/>
    <w:family w:val="auto"/>
    <w:pitch w:val="variable"/>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7AAB" w14:textId="77777777" w:rsidR="00B735E0" w:rsidRPr="000F2E5D" w:rsidRDefault="007B18B6" w:rsidP="0059655D">
    <w:pPr>
      <w:pStyle w:val="Footer"/>
    </w:pPr>
    <w:r>
      <w:rPr>
        <w:noProof/>
        <w:lang w:val="en-US" w:eastAsia="en-US"/>
      </w:rPr>
      <mc:AlternateContent>
        <mc:Choice Requires="wps">
          <w:drawing>
            <wp:anchor distT="0" distB="0" distL="114300" distR="114300" simplePos="0" relativeHeight="251658240" behindDoc="0" locked="0" layoutInCell="1" allowOverlap="1" wp14:anchorId="37A76751" wp14:editId="2C3370BC">
              <wp:simplePos x="0" y="0"/>
              <wp:positionH relativeFrom="column">
                <wp:posOffset>-381635</wp:posOffset>
              </wp:positionH>
              <wp:positionV relativeFrom="paragraph">
                <wp:posOffset>-360045</wp:posOffset>
              </wp:positionV>
              <wp:extent cx="491490" cy="304800"/>
              <wp:effectExtent l="0" t="1905" r="4445"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76D3AD" w14:textId="77777777" w:rsidR="00B735E0" w:rsidRPr="0059655D" w:rsidRDefault="007B18B6"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6C1CC0">
                            <w:rPr>
                              <w:b/>
                              <w:noProof/>
                            </w:rPr>
                            <w:t>214</w:t>
                          </w:r>
                          <w:r w:rsidRPr="0059655D">
                            <w:rPr>
                              <w:b/>
                              <w:noProof/>
                            </w:rPr>
                            <w:fldChar w:fldCharType="end"/>
                          </w:r>
                        </w:p>
                      </w:txbxContent>
                    </wps:txbx>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shapetype w14:anchorId="37A76751" id="_x0000_t202" coordsize="21600,21600" o:spt="202" path="m,l,21600r21600,l21600,xe">
              <v:stroke joinstyle="miter"/>
              <v:path gradientshapeok="t" o:connecttype="rect"/>
            </v:shapetype>
            <v:shape id="Text Box 50" o:spid="_x0000_s1027" type="#_x0000_t202" style="position:absolute;left:0;text-align:left;margin-left:-30.05pt;margin-top:-28.35pt;width:38.7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" filled="f" stroked="f" strokeweight=".5pt">
              <v:textbox>
                <w:txbxContent>
                  <w:p w14:paraId="1676D3AD" w14:textId="77777777" w:rsidR="00B735E0" w:rsidRPr="0059655D" w:rsidRDefault="007B18B6"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6C1CC0">
                      <w:rPr>
                        <w:b/>
                        <w:noProof/>
                      </w:rPr>
                      <w:t>214</w:t>
                    </w:r>
                    <w:r w:rsidRPr="0059655D">
                      <w:rPr>
                        <w:b/>
                        <w:noProof/>
                      </w:rPr>
                      <w:fldChar w:fldCharType="end"/>
                    </w:r>
                  </w:p>
                </w:txbxContent>
              </v:textbox>
            </v:shape>
          </w:pict>
        </mc:Fallback>
      </mc:AlternateContent>
    </w:r>
    <w:r>
      <w:rPr>
        <w:noProof/>
        <w:lang w:val="en-US" w:eastAsia="en-US"/>
      </w:rPr>
      <mc:AlternateContent>
        <mc:Choice Requires="wps">
          <w:drawing>
            <wp:anchor distT="0" distB="0" distL="114296" distR="114296" simplePos="0" relativeHeight="251660288" behindDoc="0" locked="0" layoutInCell="1" allowOverlap="1" wp14:anchorId="4C789BC3" wp14:editId="49FC5BE9">
              <wp:simplePos x="0" y="0"/>
              <wp:positionH relativeFrom="column">
                <wp:posOffset>191135</wp:posOffset>
              </wp:positionH>
              <wp:positionV relativeFrom="paragraph">
                <wp:posOffset>-434340</wp:posOffset>
              </wp:positionV>
              <wp:extent cx="0" cy="457200"/>
              <wp:effectExtent l="10160" t="13335" r="8890" b="15240"/>
              <wp:wrapNone/>
              <wp:docPr id="2" name="Straight Connector 51"/>
              <wp:cNvGraphicFramePr/>
              <a:graphic xmlns:a="http://schemas.openxmlformats.org/drawingml/2006/main">
                <a:graphicData uri="http://schemas.microsoft.com/office/word/2010/wordprocessingShape">
                  <wps:wsp>
                    <wps:cNvCnPr/>
                    <wps:spPr bwMode="auto">
                      <a:xfrm>
                        <a:off x="0" y="0"/>
                        <a:ext cx="0" cy="457200"/>
                      </a:xfrm>
                      <a:prstGeom prst="line">
                        <a:avLst/>
                      </a:prstGeom>
                      <a:noFill/>
                      <a:ln w="12700">
                        <a:solidFill>
                          <a:srgbClr val="02476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51" o:spid="_x0000_s2052" style="mso-height-percent:0;mso-height-relative:margin;mso-width-percent:0;mso-width-relative:margin;mso-wrap-distance-bottom:0;mso-wrap-distance-left:9pt;mso-wrap-distance-right:9pt;mso-wrap-distance-top:0;mso-wrap-style:square;position:absolute;visibility:visible;z-index:251661312" from="15.05pt,-34.2pt" to="15.05pt,1.8pt" strokecolor="#024760"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8806" w14:textId="77777777" w:rsidR="006E1FDA" w:rsidRDefault="006E1FDA" w:rsidP="00DC5C24">
      <w:r>
        <w:separator/>
      </w:r>
    </w:p>
  </w:footnote>
  <w:footnote w:type="continuationSeparator" w:id="0">
    <w:p w14:paraId="0C5C009B" w14:textId="77777777" w:rsidR="006E1FDA" w:rsidRDefault="006E1FDA" w:rsidP="00DC5C24">
      <w:r>
        <w:continuationSeparator/>
      </w:r>
    </w:p>
  </w:footnote>
  <w:footnote w:id="1">
    <w:p w14:paraId="4FE7B182" w14:textId="77777777" w:rsidR="003D6056" w:rsidRDefault="003D6056" w:rsidP="003D6056">
      <w:pPr>
        <w:pStyle w:val="FootnoteText"/>
        <w:rPr>
          <w:sz w:val="16"/>
          <w:szCs w:val="16"/>
        </w:rPr>
      </w:pPr>
      <w:r>
        <w:rPr>
          <w:rStyle w:val="FootnoteReference"/>
          <w:sz w:val="16"/>
          <w:szCs w:val="16"/>
        </w:rPr>
        <w:footnoteRef/>
      </w:r>
      <w:r>
        <w:rPr>
          <w:sz w:val="16"/>
          <w:szCs w:val="16"/>
        </w:rPr>
        <w:t xml:space="preserve"> </w:t>
      </w:r>
      <w:r>
        <w:rPr>
          <w:rFonts w:ascii="Calibri" w:hAnsi="Calibri" w:cs="Calibri"/>
          <w:sz w:val="16"/>
          <w:szCs w:val="16"/>
        </w:rPr>
        <w:t>Пристап до информации, Интегритет и добро управување, Фискална транспарентност, Отворени податоци, Транспарентност на локално ниво, Пристап до правда, Климатски промени</w:t>
      </w:r>
    </w:p>
  </w:footnote>
  <w:footnote w:id="2">
    <w:p w14:paraId="0691AF8E" w14:textId="77777777" w:rsidR="003D6056" w:rsidRDefault="003D6056" w:rsidP="003D6056">
      <w:pPr>
        <w:pStyle w:val="FootnoteText"/>
      </w:pPr>
      <w:r>
        <w:rPr>
          <w:rStyle w:val="FootnoteReference"/>
        </w:rPr>
        <w:footnoteRef/>
      </w:r>
      <w:r>
        <w:t xml:space="preserve"> </w:t>
      </w:r>
      <w:r w:rsidRPr="003A5156">
        <w:rPr>
          <w:rFonts w:ascii="StobiSerif Regular" w:hAnsi="StobiSerif Regular"/>
          <w:sz w:val="16"/>
          <w:szCs w:val="16"/>
        </w:rPr>
        <w:t>Мерењето беше спроведено од страна на пет претставници на граѓански организации избрани од Мрежата на граѓански организации за ПОВ, преку интервјуа со сите засегнати страни вклучени во спроведувањето на заложбите или преку поднесување на барање за пристап до информации од јавен карактер</w:t>
      </w:r>
      <w:r>
        <w:rPr>
          <w:rFonts w:ascii="StobiSerif Regular" w:hAnsi="StobiSerif Regula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C68D" w14:textId="77777777" w:rsidR="00B735E0" w:rsidRPr="000F2E5D" w:rsidRDefault="00000000" w:rsidP="00DC5C24">
    <w:r>
      <w:rPr>
        <w:noProof/>
        <w:lang w:val="en-GB"/>
      </w:rPr>
      <w:pict w14:anchorId="4C4E6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3073" type="#_x0000_t75" style="position:absolute;left:0;text-align:left;margin-left:0;margin-top:0;width:450.75pt;height:475.5pt;z-index:-251651072;mso-wrap-edited:f;mso-width-percent:0;mso-height-percent:0;mso-position-horizontal:center;mso-position-horizontal-relative:margin;mso-position-vertical:center;mso-position-vertical-relative:margin;mso-width-percent:0;mso-height-percent:0"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DA6A" w14:textId="77777777" w:rsidR="00B735E0" w:rsidRDefault="007B18B6" w:rsidP="00001E20">
    <w:pPr>
      <w:jc w:val="center"/>
    </w:pPr>
    <w:r>
      <w:rPr>
        <w:noProof/>
        <w:lang w:val="en-US" w:eastAsia="en-US"/>
      </w:rPr>
      <mc:AlternateContent>
        <mc:Choice Requires="wps">
          <w:drawing>
            <wp:anchor distT="0" distB="0" distL="114300" distR="114300" simplePos="0" relativeHeight="251662336" behindDoc="0" locked="0" layoutInCell="1" allowOverlap="1" wp14:anchorId="7722A27F" wp14:editId="06C0C7BE">
              <wp:simplePos x="0" y="0"/>
              <wp:positionH relativeFrom="column">
                <wp:posOffset>25400</wp:posOffset>
              </wp:positionH>
              <wp:positionV relativeFrom="paragraph">
                <wp:posOffset>969010</wp:posOffset>
              </wp:positionV>
              <wp:extent cx="5695950" cy="904875"/>
              <wp:effectExtent l="0" t="0" r="3175"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4A951C" w14:textId="77777777" w:rsidR="00B735E0" w:rsidRPr="006211EF" w:rsidRDefault="00B735E0" w:rsidP="006211EF">
                          <w:pPr>
                            <w:pStyle w:val="HeaderTXT"/>
                            <w:rPr>
                              <w:lang w:val="en-US"/>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7722A27F" id="_x0000_t202" coordsize="21600,21600" o:spt="202" path="m,l,21600r21600,l21600,xe">
              <v:stroke joinstyle="miter"/>
              <v:path gradientshapeok="t" o:connecttype="rect"/>
            </v:shapetype>
            <v:shape id="Text Box 2" o:spid="_x0000_s1026" type="#_x0000_t202" style="position:absolute;left:0;text-align:left;margin-left:2pt;margin-top:76.3pt;width:448.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" filled="f" stroked="f" strokeweight=".5pt">
              <v:textbox>
                <w:txbxContent>
                  <w:p w14:paraId="684A951C" w14:textId="77777777" w:rsidR="00B735E0" w:rsidRPr="006211EF" w:rsidRDefault="00B735E0" w:rsidP="006211EF">
                    <w:pPr>
                      <w:pStyle w:val="HeaderTXT"/>
                      <w:rPr>
                        <w:lang w:val="en-US"/>
                      </w:rPr>
                    </w:pPr>
                  </w:p>
                </w:txbxContent>
              </v:textbox>
            </v:shape>
          </w:pict>
        </mc:Fallback>
      </mc:AlternateContent>
    </w:r>
    <w:r>
      <w:rPr>
        <w:noProof/>
        <w:lang w:val="en-US" w:eastAsia="en-US"/>
      </w:rPr>
      <w:drawing>
        <wp:inline distT="0" distB="0" distL="0" distR="0" wp14:anchorId="2CBB8331" wp14:editId="30A4A700">
          <wp:extent cx="5731510" cy="1065530"/>
          <wp:effectExtent l="19050" t="0" r="2540" b="0"/>
          <wp:docPr id="26" name="Picture 1" descr="01_Logo_MIOA_H_C_MK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3543" name="01_Logo_MIOA_H_C_MKAL.png"/>
                  <pic:cNvPicPr/>
                </pic:nvPicPr>
                <pic:blipFill>
                  <a:blip r:embed="rId1"/>
                  <a:stretch>
                    <a:fillRect/>
                  </a:stretch>
                </pic:blipFill>
                <pic:spPr>
                  <a:xfrm>
                    <a:off x="0" y="0"/>
                    <a:ext cx="5731510" cy="1065530"/>
                  </a:xfrm>
                  <a:prstGeom prst="rect">
                    <a:avLst/>
                  </a:prstGeom>
                </pic:spPr>
              </pic:pic>
            </a:graphicData>
          </a:graphic>
        </wp:inline>
      </w:drawing>
    </w:r>
  </w:p>
  <w:p w14:paraId="3422F8B0" w14:textId="77777777" w:rsidR="00B735E0" w:rsidRDefault="00B735E0" w:rsidP="00001E2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CD48" w14:textId="77777777" w:rsidR="00B735E0" w:rsidRPr="000F2E5D" w:rsidRDefault="00000000" w:rsidP="00DC5C24">
    <w:r>
      <w:rPr>
        <w:noProof/>
        <w:lang w:val="en-GB"/>
      </w:rPr>
      <w:pict w14:anchorId="715EC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3077" type="#_x0000_t75" style="position:absolute;left:0;text-align:left;margin-left:0;margin-top:0;width:450.75pt;height:475.5pt;z-index:-251652096;mso-wrap-edited:f;mso-width-percent:0;mso-height-percent:0;mso-position-horizontal:center;mso-position-horizontal-relative:margin;mso-position-vertical:center;mso-position-vertical-relative:margin;mso-width-percent:0;mso-height-percent:0"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6"/>
    <w:multiLevelType w:val="multilevel"/>
    <w:tmpl w:val="6AF81DEC"/>
    <w:lvl w:ilvl="0">
      <w:start w:val="1"/>
      <w:numFmt w:val="decimal"/>
      <w:lvlText w:val="%1."/>
      <w:lvlJc w:val="left"/>
      <w:pPr>
        <w:tabs>
          <w:tab w:val="num" w:pos="707"/>
        </w:tabs>
        <w:ind w:left="707" w:hanging="283"/>
      </w:pPr>
      <w:rPr>
        <w:sz w:val="20"/>
        <w:szCs w:val="20"/>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8"/>
    <w:multiLevelType w:val="multilevel"/>
    <w:tmpl w:val="000000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000000A"/>
    <w:multiLevelType w:val="multilevel"/>
    <w:tmpl w:val="0000000A"/>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15:restartNumberingAfterBreak="0">
    <w:nsid w:val="0000000B"/>
    <w:multiLevelType w:val="multilevel"/>
    <w:tmpl w:val="0000000B"/>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15:restartNumberingAfterBreak="0">
    <w:nsid w:val="0000000C"/>
    <w:multiLevelType w:val="multilevel"/>
    <w:tmpl w:val="0000000C"/>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2" w15:restartNumberingAfterBreak="0">
    <w:nsid w:val="707D4719"/>
    <w:multiLevelType w:val="multilevel"/>
    <w:tmpl w:val="707D47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0239066">
    <w:abstractNumId w:val="12"/>
  </w:num>
  <w:num w:numId="2" w16cid:durableId="1756127898">
    <w:abstractNumId w:val="0"/>
  </w:num>
  <w:num w:numId="3" w16cid:durableId="1975714129">
    <w:abstractNumId w:val="1"/>
  </w:num>
  <w:num w:numId="4" w16cid:durableId="755588787">
    <w:abstractNumId w:val="2"/>
  </w:num>
  <w:num w:numId="5" w16cid:durableId="968783004">
    <w:abstractNumId w:val="3"/>
  </w:num>
  <w:num w:numId="6" w16cid:durableId="1285112177">
    <w:abstractNumId w:val="4"/>
  </w:num>
  <w:num w:numId="7" w16cid:durableId="1031035794">
    <w:abstractNumId w:val="5"/>
  </w:num>
  <w:num w:numId="8" w16cid:durableId="1274283585">
    <w:abstractNumId w:val="6"/>
  </w:num>
  <w:num w:numId="9" w16cid:durableId="495071488">
    <w:abstractNumId w:val="7"/>
  </w:num>
  <w:num w:numId="10" w16cid:durableId="447551092">
    <w:abstractNumId w:val="8"/>
  </w:num>
  <w:num w:numId="11" w16cid:durableId="114905161">
    <w:abstractNumId w:val="9"/>
  </w:num>
  <w:num w:numId="12" w16cid:durableId="951471827">
    <w:abstractNumId w:val="10"/>
  </w:num>
  <w:num w:numId="13" w16cid:durableId="96385390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06E8"/>
    <w:rsid w:val="000010D9"/>
    <w:rsid w:val="00001514"/>
    <w:rsid w:val="000019FD"/>
    <w:rsid w:val="00001E20"/>
    <w:rsid w:val="00002503"/>
    <w:rsid w:val="00003C9B"/>
    <w:rsid w:val="00004559"/>
    <w:rsid w:val="0000468A"/>
    <w:rsid w:val="00005C5C"/>
    <w:rsid w:val="00011F23"/>
    <w:rsid w:val="0001205E"/>
    <w:rsid w:val="0001539F"/>
    <w:rsid w:val="00015F9C"/>
    <w:rsid w:val="00021B2A"/>
    <w:rsid w:val="00024F64"/>
    <w:rsid w:val="000255C1"/>
    <w:rsid w:val="00026D17"/>
    <w:rsid w:val="00030634"/>
    <w:rsid w:val="00030EDC"/>
    <w:rsid w:val="00031A6B"/>
    <w:rsid w:val="00035379"/>
    <w:rsid w:val="0003569F"/>
    <w:rsid w:val="00035845"/>
    <w:rsid w:val="0003592F"/>
    <w:rsid w:val="00036A5C"/>
    <w:rsid w:val="000377A8"/>
    <w:rsid w:val="000413E7"/>
    <w:rsid w:val="000414DD"/>
    <w:rsid w:val="00042989"/>
    <w:rsid w:val="00043218"/>
    <w:rsid w:val="0004443B"/>
    <w:rsid w:val="00044ED8"/>
    <w:rsid w:val="00045813"/>
    <w:rsid w:val="00045CE3"/>
    <w:rsid w:val="00047565"/>
    <w:rsid w:val="000477F9"/>
    <w:rsid w:val="000500A0"/>
    <w:rsid w:val="00050210"/>
    <w:rsid w:val="00050586"/>
    <w:rsid w:val="000519B6"/>
    <w:rsid w:val="0005260B"/>
    <w:rsid w:val="00052EFE"/>
    <w:rsid w:val="00054486"/>
    <w:rsid w:val="000548E0"/>
    <w:rsid w:val="00056EC0"/>
    <w:rsid w:val="000573F0"/>
    <w:rsid w:val="00057798"/>
    <w:rsid w:val="0005789E"/>
    <w:rsid w:val="00060A42"/>
    <w:rsid w:val="00061252"/>
    <w:rsid w:val="00061897"/>
    <w:rsid w:val="00063048"/>
    <w:rsid w:val="0006367A"/>
    <w:rsid w:val="00064056"/>
    <w:rsid w:val="000650E1"/>
    <w:rsid w:val="000660DB"/>
    <w:rsid w:val="000664ED"/>
    <w:rsid w:val="00067509"/>
    <w:rsid w:val="000675A9"/>
    <w:rsid w:val="00067F9E"/>
    <w:rsid w:val="0007053E"/>
    <w:rsid w:val="00071BD2"/>
    <w:rsid w:val="0007457C"/>
    <w:rsid w:val="000803E1"/>
    <w:rsid w:val="0008081A"/>
    <w:rsid w:val="00080E7C"/>
    <w:rsid w:val="0008191E"/>
    <w:rsid w:val="00082E53"/>
    <w:rsid w:val="0008303C"/>
    <w:rsid w:val="00083FFA"/>
    <w:rsid w:val="000853D3"/>
    <w:rsid w:val="000874B6"/>
    <w:rsid w:val="00087B76"/>
    <w:rsid w:val="000902E1"/>
    <w:rsid w:val="00090C32"/>
    <w:rsid w:val="0009182A"/>
    <w:rsid w:val="00091D18"/>
    <w:rsid w:val="0009377E"/>
    <w:rsid w:val="000961E9"/>
    <w:rsid w:val="00097E10"/>
    <w:rsid w:val="00097F19"/>
    <w:rsid w:val="000A09E5"/>
    <w:rsid w:val="000A1EEF"/>
    <w:rsid w:val="000A2536"/>
    <w:rsid w:val="000A274A"/>
    <w:rsid w:val="000A290E"/>
    <w:rsid w:val="000A5800"/>
    <w:rsid w:val="000A58F8"/>
    <w:rsid w:val="000A672B"/>
    <w:rsid w:val="000B0998"/>
    <w:rsid w:val="000B3954"/>
    <w:rsid w:val="000B3FE4"/>
    <w:rsid w:val="000B4B61"/>
    <w:rsid w:val="000B5335"/>
    <w:rsid w:val="000C07EB"/>
    <w:rsid w:val="000C2208"/>
    <w:rsid w:val="000C28D5"/>
    <w:rsid w:val="000C6FBD"/>
    <w:rsid w:val="000C7CEE"/>
    <w:rsid w:val="000D0BC8"/>
    <w:rsid w:val="000D124E"/>
    <w:rsid w:val="000D17A2"/>
    <w:rsid w:val="000D27A1"/>
    <w:rsid w:val="000D34C3"/>
    <w:rsid w:val="000D361B"/>
    <w:rsid w:val="000E0324"/>
    <w:rsid w:val="000E39F8"/>
    <w:rsid w:val="000E43DD"/>
    <w:rsid w:val="000F01C0"/>
    <w:rsid w:val="000F1CA4"/>
    <w:rsid w:val="000F1EC7"/>
    <w:rsid w:val="000F2A96"/>
    <w:rsid w:val="000F2C3B"/>
    <w:rsid w:val="000F2E5D"/>
    <w:rsid w:val="000F2F12"/>
    <w:rsid w:val="000F43FA"/>
    <w:rsid w:val="000F5660"/>
    <w:rsid w:val="00100F13"/>
    <w:rsid w:val="0010267F"/>
    <w:rsid w:val="001042B5"/>
    <w:rsid w:val="00106CD6"/>
    <w:rsid w:val="00106EB2"/>
    <w:rsid w:val="00106FEB"/>
    <w:rsid w:val="0010778B"/>
    <w:rsid w:val="001078A2"/>
    <w:rsid w:val="0011111A"/>
    <w:rsid w:val="0011209E"/>
    <w:rsid w:val="001122A1"/>
    <w:rsid w:val="001128EC"/>
    <w:rsid w:val="00112F2F"/>
    <w:rsid w:val="0011383A"/>
    <w:rsid w:val="00113B68"/>
    <w:rsid w:val="001142F8"/>
    <w:rsid w:val="0011557F"/>
    <w:rsid w:val="001159BC"/>
    <w:rsid w:val="00115B66"/>
    <w:rsid w:val="00115E66"/>
    <w:rsid w:val="001167B7"/>
    <w:rsid w:val="00121E23"/>
    <w:rsid w:val="001234CD"/>
    <w:rsid w:val="00125A07"/>
    <w:rsid w:val="00127ADA"/>
    <w:rsid w:val="001317FD"/>
    <w:rsid w:val="00131EE9"/>
    <w:rsid w:val="00132338"/>
    <w:rsid w:val="0013265E"/>
    <w:rsid w:val="00132B65"/>
    <w:rsid w:val="001337FE"/>
    <w:rsid w:val="0013530D"/>
    <w:rsid w:val="00137718"/>
    <w:rsid w:val="00140D4C"/>
    <w:rsid w:val="00141BB6"/>
    <w:rsid w:val="001425EE"/>
    <w:rsid w:val="00142772"/>
    <w:rsid w:val="00144EC7"/>
    <w:rsid w:val="00147B44"/>
    <w:rsid w:val="00150A23"/>
    <w:rsid w:val="001525D7"/>
    <w:rsid w:val="00153797"/>
    <w:rsid w:val="00153CBE"/>
    <w:rsid w:val="00155786"/>
    <w:rsid w:val="001565F6"/>
    <w:rsid w:val="00157487"/>
    <w:rsid w:val="0015755C"/>
    <w:rsid w:val="001617CA"/>
    <w:rsid w:val="00161B63"/>
    <w:rsid w:val="0016333E"/>
    <w:rsid w:val="00164759"/>
    <w:rsid w:val="00166A70"/>
    <w:rsid w:val="00167505"/>
    <w:rsid w:val="00172CA1"/>
    <w:rsid w:val="00175D96"/>
    <w:rsid w:val="001760C7"/>
    <w:rsid w:val="0017620E"/>
    <w:rsid w:val="001765A4"/>
    <w:rsid w:val="0017686B"/>
    <w:rsid w:val="001807F7"/>
    <w:rsid w:val="00180B7B"/>
    <w:rsid w:val="00182C6F"/>
    <w:rsid w:val="00183C3B"/>
    <w:rsid w:val="001844AE"/>
    <w:rsid w:val="00184BAA"/>
    <w:rsid w:val="00185218"/>
    <w:rsid w:val="00185725"/>
    <w:rsid w:val="00186DF1"/>
    <w:rsid w:val="00187E40"/>
    <w:rsid w:val="00190333"/>
    <w:rsid w:val="001908F2"/>
    <w:rsid w:val="00190E59"/>
    <w:rsid w:val="001923F8"/>
    <w:rsid w:val="00192B5C"/>
    <w:rsid w:val="001934DF"/>
    <w:rsid w:val="0019449A"/>
    <w:rsid w:val="0019519F"/>
    <w:rsid w:val="001959F1"/>
    <w:rsid w:val="0019706F"/>
    <w:rsid w:val="001A05C4"/>
    <w:rsid w:val="001A10A8"/>
    <w:rsid w:val="001A307E"/>
    <w:rsid w:val="001A42B7"/>
    <w:rsid w:val="001A42E0"/>
    <w:rsid w:val="001A5308"/>
    <w:rsid w:val="001A60E6"/>
    <w:rsid w:val="001B0B35"/>
    <w:rsid w:val="001B1F89"/>
    <w:rsid w:val="001B2D08"/>
    <w:rsid w:val="001B349F"/>
    <w:rsid w:val="001B4B6E"/>
    <w:rsid w:val="001B6289"/>
    <w:rsid w:val="001B7955"/>
    <w:rsid w:val="001C1E00"/>
    <w:rsid w:val="001C2E17"/>
    <w:rsid w:val="001C4CA2"/>
    <w:rsid w:val="001C52BF"/>
    <w:rsid w:val="001C589E"/>
    <w:rsid w:val="001C5B51"/>
    <w:rsid w:val="001C7495"/>
    <w:rsid w:val="001D098C"/>
    <w:rsid w:val="001D126D"/>
    <w:rsid w:val="001D198B"/>
    <w:rsid w:val="001D27D5"/>
    <w:rsid w:val="001D325E"/>
    <w:rsid w:val="001D3770"/>
    <w:rsid w:val="001D40B1"/>
    <w:rsid w:val="001D44FC"/>
    <w:rsid w:val="001D4974"/>
    <w:rsid w:val="001D58E7"/>
    <w:rsid w:val="001D5F42"/>
    <w:rsid w:val="001D6916"/>
    <w:rsid w:val="001D73D8"/>
    <w:rsid w:val="001D7F21"/>
    <w:rsid w:val="001E005C"/>
    <w:rsid w:val="001E02C6"/>
    <w:rsid w:val="001E09C3"/>
    <w:rsid w:val="001E0C19"/>
    <w:rsid w:val="001E0DB5"/>
    <w:rsid w:val="001E1296"/>
    <w:rsid w:val="001E20D6"/>
    <w:rsid w:val="001E2363"/>
    <w:rsid w:val="001E3AAC"/>
    <w:rsid w:val="001E3EF5"/>
    <w:rsid w:val="001E6E72"/>
    <w:rsid w:val="001F047A"/>
    <w:rsid w:val="001F16F7"/>
    <w:rsid w:val="001F1B7B"/>
    <w:rsid w:val="001F1F11"/>
    <w:rsid w:val="001F1F64"/>
    <w:rsid w:val="001F262A"/>
    <w:rsid w:val="001F36F4"/>
    <w:rsid w:val="001F3802"/>
    <w:rsid w:val="001F3856"/>
    <w:rsid w:val="001F3A1D"/>
    <w:rsid w:val="001F3BC7"/>
    <w:rsid w:val="001F4769"/>
    <w:rsid w:val="001F58A2"/>
    <w:rsid w:val="001F61E0"/>
    <w:rsid w:val="001F7117"/>
    <w:rsid w:val="001F7B56"/>
    <w:rsid w:val="001F7DEF"/>
    <w:rsid w:val="002006FA"/>
    <w:rsid w:val="002009BB"/>
    <w:rsid w:val="00201379"/>
    <w:rsid w:val="002030D4"/>
    <w:rsid w:val="00204192"/>
    <w:rsid w:val="00204561"/>
    <w:rsid w:val="00205762"/>
    <w:rsid w:val="00205D01"/>
    <w:rsid w:val="002061E0"/>
    <w:rsid w:val="00206E2E"/>
    <w:rsid w:val="00206E40"/>
    <w:rsid w:val="0020754D"/>
    <w:rsid w:val="00207FE6"/>
    <w:rsid w:val="00211672"/>
    <w:rsid w:val="0021231B"/>
    <w:rsid w:val="00212A62"/>
    <w:rsid w:val="00212FA6"/>
    <w:rsid w:val="0021323D"/>
    <w:rsid w:val="00213F59"/>
    <w:rsid w:val="00214B23"/>
    <w:rsid w:val="002169E0"/>
    <w:rsid w:val="0021778E"/>
    <w:rsid w:val="00217E09"/>
    <w:rsid w:val="002200EE"/>
    <w:rsid w:val="00220583"/>
    <w:rsid w:val="00220BF1"/>
    <w:rsid w:val="00221C2C"/>
    <w:rsid w:val="00221C71"/>
    <w:rsid w:val="00221E88"/>
    <w:rsid w:val="002221F3"/>
    <w:rsid w:val="002246B7"/>
    <w:rsid w:val="0022703A"/>
    <w:rsid w:val="002301B7"/>
    <w:rsid w:val="0023137C"/>
    <w:rsid w:val="00234BC0"/>
    <w:rsid w:val="00235514"/>
    <w:rsid w:val="00235B2D"/>
    <w:rsid w:val="00235C37"/>
    <w:rsid w:val="00235EB7"/>
    <w:rsid w:val="00236FCC"/>
    <w:rsid w:val="00237F58"/>
    <w:rsid w:val="00240673"/>
    <w:rsid w:val="0024255E"/>
    <w:rsid w:val="00242F6C"/>
    <w:rsid w:val="0024602F"/>
    <w:rsid w:val="00251870"/>
    <w:rsid w:val="00251D83"/>
    <w:rsid w:val="00252864"/>
    <w:rsid w:val="00252B8A"/>
    <w:rsid w:val="00255587"/>
    <w:rsid w:val="002609C0"/>
    <w:rsid w:val="00261FE6"/>
    <w:rsid w:val="002625AA"/>
    <w:rsid w:val="00264D93"/>
    <w:rsid w:val="002651CC"/>
    <w:rsid w:val="00265850"/>
    <w:rsid w:val="002700D3"/>
    <w:rsid w:val="00270DAC"/>
    <w:rsid w:val="002714F2"/>
    <w:rsid w:val="00271C6D"/>
    <w:rsid w:val="00272403"/>
    <w:rsid w:val="002726AD"/>
    <w:rsid w:val="00273D0C"/>
    <w:rsid w:val="00274CBC"/>
    <w:rsid w:val="00274F67"/>
    <w:rsid w:val="00275A53"/>
    <w:rsid w:val="00276661"/>
    <w:rsid w:val="00277A97"/>
    <w:rsid w:val="002815B9"/>
    <w:rsid w:val="0028199A"/>
    <w:rsid w:val="0028317D"/>
    <w:rsid w:val="002841DA"/>
    <w:rsid w:val="002848A8"/>
    <w:rsid w:val="00284DC9"/>
    <w:rsid w:val="002862E9"/>
    <w:rsid w:val="00286499"/>
    <w:rsid w:val="00290881"/>
    <w:rsid w:val="00293A36"/>
    <w:rsid w:val="00293B8E"/>
    <w:rsid w:val="00293C30"/>
    <w:rsid w:val="00293CD0"/>
    <w:rsid w:val="0029627D"/>
    <w:rsid w:val="002A1CFD"/>
    <w:rsid w:val="002A210F"/>
    <w:rsid w:val="002A3141"/>
    <w:rsid w:val="002A3AD5"/>
    <w:rsid w:val="002A6D32"/>
    <w:rsid w:val="002A6EA0"/>
    <w:rsid w:val="002A6ED3"/>
    <w:rsid w:val="002A754A"/>
    <w:rsid w:val="002B11CC"/>
    <w:rsid w:val="002B246C"/>
    <w:rsid w:val="002B388E"/>
    <w:rsid w:val="002B45A3"/>
    <w:rsid w:val="002B5716"/>
    <w:rsid w:val="002B7A42"/>
    <w:rsid w:val="002B7C01"/>
    <w:rsid w:val="002C1206"/>
    <w:rsid w:val="002C27B9"/>
    <w:rsid w:val="002C2AAC"/>
    <w:rsid w:val="002C2FB2"/>
    <w:rsid w:val="002C32F3"/>
    <w:rsid w:val="002C533E"/>
    <w:rsid w:val="002C6868"/>
    <w:rsid w:val="002D055A"/>
    <w:rsid w:val="002D2B08"/>
    <w:rsid w:val="002D2CD1"/>
    <w:rsid w:val="002D2FAE"/>
    <w:rsid w:val="002D38F0"/>
    <w:rsid w:val="002D497F"/>
    <w:rsid w:val="002D6AC2"/>
    <w:rsid w:val="002D6ACD"/>
    <w:rsid w:val="002D73BD"/>
    <w:rsid w:val="002D7681"/>
    <w:rsid w:val="002D7C5A"/>
    <w:rsid w:val="002E0A73"/>
    <w:rsid w:val="002E22FB"/>
    <w:rsid w:val="002E2998"/>
    <w:rsid w:val="002E3011"/>
    <w:rsid w:val="002E32CE"/>
    <w:rsid w:val="002E359B"/>
    <w:rsid w:val="002E3BCC"/>
    <w:rsid w:val="002E44CB"/>
    <w:rsid w:val="002E6E53"/>
    <w:rsid w:val="002E7536"/>
    <w:rsid w:val="002F00CF"/>
    <w:rsid w:val="002F0912"/>
    <w:rsid w:val="002F4EEA"/>
    <w:rsid w:val="002F68E8"/>
    <w:rsid w:val="002F6B95"/>
    <w:rsid w:val="002F6BDA"/>
    <w:rsid w:val="002F6C1E"/>
    <w:rsid w:val="002F6CA3"/>
    <w:rsid w:val="002F6F8C"/>
    <w:rsid w:val="002F7BC4"/>
    <w:rsid w:val="002F7F4F"/>
    <w:rsid w:val="00300F8A"/>
    <w:rsid w:val="003011A4"/>
    <w:rsid w:val="00301685"/>
    <w:rsid w:val="00301854"/>
    <w:rsid w:val="00302056"/>
    <w:rsid w:val="00302C21"/>
    <w:rsid w:val="003037E4"/>
    <w:rsid w:val="00305C73"/>
    <w:rsid w:val="003061F5"/>
    <w:rsid w:val="00306552"/>
    <w:rsid w:val="00306C9B"/>
    <w:rsid w:val="00307E92"/>
    <w:rsid w:val="0031335C"/>
    <w:rsid w:val="00314281"/>
    <w:rsid w:val="00315E5A"/>
    <w:rsid w:val="0031695E"/>
    <w:rsid w:val="00317BE1"/>
    <w:rsid w:val="00317E9C"/>
    <w:rsid w:val="0032021A"/>
    <w:rsid w:val="00320637"/>
    <w:rsid w:val="003242A9"/>
    <w:rsid w:val="0032488A"/>
    <w:rsid w:val="003257DA"/>
    <w:rsid w:val="00325CFF"/>
    <w:rsid w:val="00325EA7"/>
    <w:rsid w:val="003262F2"/>
    <w:rsid w:val="00326844"/>
    <w:rsid w:val="00326F74"/>
    <w:rsid w:val="00327AB3"/>
    <w:rsid w:val="00327C8A"/>
    <w:rsid w:val="00327D4A"/>
    <w:rsid w:val="00331A3C"/>
    <w:rsid w:val="00331EF5"/>
    <w:rsid w:val="00332F3D"/>
    <w:rsid w:val="003341A2"/>
    <w:rsid w:val="00335DE2"/>
    <w:rsid w:val="00336479"/>
    <w:rsid w:val="003377A9"/>
    <w:rsid w:val="003378CF"/>
    <w:rsid w:val="003413FB"/>
    <w:rsid w:val="00341AC8"/>
    <w:rsid w:val="00341D02"/>
    <w:rsid w:val="0034260B"/>
    <w:rsid w:val="00343C5F"/>
    <w:rsid w:val="00345BCC"/>
    <w:rsid w:val="0034769A"/>
    <w:rsid w:val="00347D47"/>
    <w:rsid w:val="0035213E"/>
    <w:rsid w:val="003522AA"/>
    <w:rsid w:val="0035322D"/>
    <w:rsid w:val="0035340F"/>
    <w:rsid w:val="003535C3"/>
    <w:rsid w:val="00354087"/>
    <w:rsid w:val="00356024"/>
    <w:rsid w:val="003565FD"/>
    <w:rsid w:val="0036018D"/>
    <w:rsid w:val="0036040F"/>
    <w:rsid w:val="00360AAD"/>
    <w:rsid w:val="00361CCA"/>
    <w:rsid w:val="00362F3A"/>
    <w:rsid w:val="003634B2"/>
    <w:rsid w:val="00363A6E"/>
    <w:rsid w:val="00363F5A"/>
    <w:rsid w:val="003649E2"/>
    <w:rsid w:val="00367F35"/>
    <w:rsid w:val="00370208"/>
    <w:rsid w:val="00370ACF"/>
    <w:rsid w:val="0037123F"/>
    <w:rsid w:val="00371E2C"/>
    <w:rsid w:val="0037394C"/>
    <w:rsid w:val="00373C8E"/>
    <w:rsid w:val="00373F01"/>
    <w:rsid w:val="00376AD4"/>
    <w:rsid w:val="00377029"/>
    <w:rsid w:val="0037750A"/>
    <w:rsid w:val="0038599F"/>
    <w:rsid w:val="00386382"/>
    <w:rsid w:val="0038648B"/>
    <w:rsid w:val="00387C1F"/>
    <w:rsid w:val="00387CF7"/>
    <w:rsid w:val="00387E52"/>
    <w:rsid w:val="003906C3"/>
    <w:rsid w:val="003918D7"/>
    <w:rsid w:val="00393F62"/>
    <w:rsid w:val="003942BB"/>
    <w:rsid w:val="00394857"/>
    <w:rsid w:val="003970AA"/>
    <w:rsid w:val="003A3BB7"/>
    <w:rsid w:val="003A564D"/>
    <w:rsid w:val="003A60E7"/>
    <w:rsid w:val="003A77B8"/>
    <w:rsid w:val="003A79DD"/>
    <w:rsid w:val="003B0310"/>
    <w:rsid w:val="003B099E"/>
    <w:rsid w:val="003B151E"/>
    <w:rsid w:val="003B157F"/>
    <w:rsid w:val="003B2C02"/>
    <w:rsid w:val="003B2C90"/>
    <w:rsid w:val="003B2D26"/>
    <w:rsid w:val="003B3F88"/>
    <w:rsid w:val="003B473A"/>
    <w:rsid w:val="003B47C3"/>
    <w:rsid w:val="003B482F"/>
    <w:rsid w:val="003B52A8"/>
    <w:rsid w:val="003B5354"/>
    <w:rsid w:val="003B6144"/>
    <w:rsid w:val="003B6B0F"/>
    <w:rsid w:val="003B738F"/>
    <w:rsid w:val="003C14AF"/>
    <w:rsid w:val="003C19A3"/>
    <w:rsid w:val="003C2C83"/>
    <w:rsid w:val="003C3AC5"/>
    <w:rsid w:val="003C409E"/>
    <w:rsid w:val="003C478A"/>
    <w:rsid w:val="003C6479"/>
    <w:rsid w:val="003D0DE0"/>
    <w:rsid w:val="003D16E4"/>
    <w:rsid w:val="003D2C97"/>
    <w:rsid w:val="003D3202"/>
    <w:rsid w:val="003D3BF3"/>
    <w:rsid w:val="003D422D"/>
    <w:rsid w:val="003D4B2F"/>
    <w:rsid w:val="003D5009"/>
    <w:rsid w:val="003D5445"/>
    <w:rsid w:val="003D5DE9"/>
    <w:rsid w:val="003D6056"/>
    <w:rsid w:val="003D653C"/>
    <w:rsid w:val="003D774B"/>
    <w:rsid w:val="003E08DD"/>
    <w:rsid w:val="003E0E75"/>
    <w:rsid w:val="003E2045"/>
    <w:rsid w:val="003E3982"/>
    <w:rsid w:val="003E48AF"/>
    <w:rsid w:val="003E5360"/>
    <w:rsid w:val="003E7AA9"/>
    <w:rsid w:val="003E7B8C"/>
    <w:rsid w:val="003F127B"/>
    <w:rsid w:val="003F1CED"/>
    <w:rsid w:val="003F2152"/>
    <w:rsid w:val="003F3433"/>
    <w:rsid w:val="003F3C54"/>
    <w:rsid w:val="003F417D"/>
    <w:rsid w:val="003F5FB2"/>
    <w:rsid w:val="003F652E"/>
    <w:rsid w:val="003F7F9D"/>
    <w:rsid w:val="00400713"/>
    <w:rsid w:val="00404357"/>
    <w:rsid w:val="0040447B"/>
    <w:rsid w:val="00405D6C"/>
    <w:rsid w:val="00405ECF"/>
    <w:rsid w:val="00406209"/>
    <w:rsid w:val="0041105D"/>
    <w:rsid w:val="00411AC4"/>
    <w:rsid w:val="00412EFA"/>
    <w:rsid w:val="00413293"/>
    <w:rsid w:val="00414062"/>
    <w:rsid w:val="004151CF"/>
    <w:rsid w:val="00421600"/>
    <w:rsid w:val="00421FF9"/>
    <w:rsid w:val="0042387B"/>
    <w:rsid w:val="004240F5"/>
    <w:rsid w:val="00425FA1"/>
    <w:rsid w:val="004266F6"/>
    <w:rsid w:val="00426DDE"/>
    <w:rsid w:val="00426EFF"/>
    <w:rsid w:val="0042743A"/>
    <w:rsid w:val="00432203"/>
    <w:rsid w:val="00434FA3"/>
    <w:rsid w:val="00436EBF"/>
    <w:rsid w:val="00437B00"/>
    <w:rsid w:val="0044024D"/>
    <w:rsid w:val="004408E6"/>
    <w:rsid w:val="004436BA"/>
    <w:rsid w:val="004441EE"/>
    <w:rsid w:val="00444CA3"/>
    <w:rsid w:val="00444DF5"/>
    <w:rsid w:val="00446B71"/>
    <w:rsid w:val="00447282"/>
    <w:rsid w:val="00450118"/>
    <w:rsid w:val="00451322"/>
    <w:rsid w:val="004517DC"/>
    <w:rsid w:val="00453021"/>
    <w:rsid w:val="0045318F"/>
    <w:rsid w:val="00453539"/>
    <w:rsid w:val="0045368E"/>
    <w:rsid w:val="0045689F"/>
    <w:rsid w:val="00460846"/>
    <w:rsid w:val="00460E98"/>
    <w:rsid w:val="0046135C"/>
    <w:rsid w:val="004616E3"/>
    <w:rsid w:val="00461899"/>
    <w:rsid w:val="004627B8"/>
    <w:rsid w:val="00462BC1"/>
    <w:rsid w:val="00463381"/>
    <w:rsid w:val="00464C45"/>
    <w:rsid w:val="00467425"/>
    <w:rsid w:val="00467534"/>
    <w:rsid w:val="0047032E"/>
    <w:rsid w:val="00470B40"/>
    <w:rsid w:val="004733FE"/>
    <w:rsid w:val="00474938"/>
    <w:rsid w:val="00474D0D"/>
    <w:rsid w:val="004753CA"/>
    <w:rsid w:val="00475A27"/>
    <w:rsid w:val="00475F55"/>
    <w:rsid w:val="00477358"/>
    <w:rsid w:val="00477DFA"/>
    <w:rsid w:val="00480345"/>
    <w:rsid w:val="004805A6"/>
    <w:rsid w:val="00480ACB"/>
    <w:rsid w:val="004862B2"/>
    <w:rsid w:val="004866B5"/>
    <w:rsid w:val="00487AD1"/>
    <w:rsid w:val="004906A9"/>
    <w:rsid w:val="00490EA7"/>
    <w:rsid w:val="00491A8D"/>
    <w:rsid w:val="00496609"/>
    <w:rsid w:val="0049761F"/>
    <w:rsid w:val="004A0001"/>
    <w:rsid w:val="004A0D51"/>
    <w:rsid w:val="004A3B7E"/>
    <w:rsid w:val="004A4A61"/>
    <w:rsid w:val="004A5089"/>
    <w:rsid w:val="004A67D2"/>
    <w:rsid w:val="004B0595"/>
    <w:rsid w:val="004B0D4C"/>
    <w:rsid w:val="004B146B"/>
    <w:rsid w:val="004B16EE"/>
    <w:rsid w:val="004B1DCE"/>
    <w:rsid w:val="004B2E41"/>
    <w:rsid w:val="004B6717"/>
    <w:rsid w:val="004B7BDF"/>
    <w:rsid w:val="004C009D"/>
    <w:rsid w:val="004C0BF1"/>
    <w:rsid w:val="004C0C14"/>
    <w:rsid w:val="004C1362"/>
    <w:rsid w:val="004C1548"/>
    <w:rsid w:val="004C1DFF"/>
    <w:rsid w:val="004C3643"/>
    <w:rsid w:val="004C4209"/>
    <w:rsid w:val="004C612A"/>
    <w:rsid w:val="004C73C8"/>
    <w:rsid w:val="004D0C6A"/>
    <w:rsid w:val="004D16C3"/>
    <w:rsid w:val="004D2DDA"/>
    <w:rsid w:val="004D3A94"/>
    <w:rsid w:val="004D5837"/>
    <w:rsid w:val="004D6737"/>
    <w:rsid w:val="004D686D"/>
    <w:rsid w:val="004D7FBB"/>
    <w:rsid w:val="004E127B"/>
    <w:rsid w:val="004E1F34"/>
    <w:rsid w:val="004E2523"/>
    <w:rsid w:val="004E287F"/>
    <w:rsid w:val="004E3052"/>
    <w:rsid w:val="004E3152"/>
    <w:rsid w:val="004E4CA5"/>
    <w:rsid w:val="004E6397"/>
    <w:rsid w:val="004E6FC0"/>
    <w:rsid w:val="004E712E"/>
    <w:rsid w:val="004F4A73"/>
    <w:rsid w:val="004F4B44"/>
    <w:rsid w:val="004F5362"/>
    <w:rsid w:val="004F6133"/>
    <w:rsid w:val="004F754C"/>
    <w:rsid w:val="004F7B2B"/>
    <w:rsid w:val="00500FE9"/>
    <w:rsid w:val="00501093"/>
    <w:rsid w:val="00502404"/>
    <w:rsid w:val="0050247B"/>
    <w:rsid w:val="00503195"/>
    <w:rsid w:val="0050516B"/>
    <w:rsid w:val="00506ACE"/>
    <w:rsid w:val="00510574"/>
    <w:rsid w:val="005114BD"/>
    <w:rsid w:val="00511D0A"/>
    <w:rsid w:val="00512A14"/>
    <w:rsid w:val="0051380D"/>
    <w:rsid w:val="00514800"/>
    <w:rsid w:val="0051482A"/>
    <w:rsid w:val="00514E5D"/>
    <w:rsid w:val="005158CB"/>
    <w:rsid w:val="0051643A"/>
    <w:rsid w:val="00516ECB"/>
    <w:rsid w:val="005170F3"/>
    <w:rsid w:val="00520035"/>
    <w:rsid w:val="00520B95"/>
    <w:rsid w:val="00527973"/>
    <w:rsid w:val="00527E9D"/>
    <w:rsid w:val="005304EA"/>
    <w:rsid w:val="00531425"/>
    <w:rsid w:val="00533552"/>
    <w:rsid w:val="00537500"/>
    <w:rsid w:val="00537CAF"/>
    <w:rsid w:val="00540176"/>
    <w:rsid w:val="0054141A"/>
    <w:rsid w:val="0054181D"/>
    <w:rsid w:val="0054255B"/>
    <w:rsid w:val="005433DE"/>
    <w:rsid w:val="005440D1"/>
    <w:rsid w:val="00545C67"/>
    <w:rsid w:val="00547380"/>
    <w:rsid w:val="00547F59"/>
    <w:rsid w:val="00550992"/>
    <w:rsid w:val="00550AFD"/>
    <w:rsid w:val="00550C11"/>
    <w:rsid w:val="00551F26"/>
    <w:rsid w:val="00552266"/>
    <w:rsid w:val="00552EC1"/>
    <w:rsid w:val="00553681"/>
    <w:rsid w:val="005550F6"/>
    <w:rsid w:val="0055550B"/>
    <w:rsid w:val="00555ED7"/>
    <w:rsid w:val="00557776"/>
    <w:rsid w:val="00560549"/>
    <w:rsid w:val="00566FD3"/>
    <w:rsid w:val="005677A7"/>
    <w:rsid w:val="00571F34"/>
    <w:rsid w:val="00572CE4"/>
    <w:rsid w:val="0057527C"/>
    <w:rsid w:val="00575941"/>
    <w:rsid w:val="00575C0B"/>
    <w:rsid w:val="0057621A"/>
    <w:rsid w:val="005778C0"/>
    <w:rsid w:val="00577964"/>
    <w:rsid w:val="00581512"/>
    <w:rsid w:val="0058342B"/>
    <w:rsid w:val="00585D6E"/>
    <w:rsid w:val="0058672F"/>
    <w:rsid w:val="00586E47"/>
    <w:rsid w:val="005876E6"/>
    <w:rsid w:val="00590F40"/>
    <w:rsid w:val="00591F7E"/>
    <w:rsid w:val="0059437B"/>
    <w:rsid w:val="00594925"/>
    <w:rsid w:val="005959B7"/>
    <w:rsid w:val="0059655D"/>
    <w:rsid w:val="0059658C"/>
    <w:rsid w:val="00596DD5"/>
    <w:rsid w:val="005A10C0"/>
    <w:rsid w:val="005A4148"/>
    <w:rsid w:val="005A51A2"/>
    <w:rsid w:val="005A6822"/>
    <w:rsid w:val="005A7B93"/>
    <w:rsid w:val="005B058C"/>
    <w:rsid w:val="005B13F2"/>
    <w:rsid w:val="005B2A7E"/>
    <w:rsid w:val="005B53AA"/>
    <w:rsid w:val="005B5742"/>
    <w:rsid w:val="005B74AA"/>
    <w:rsid w:val="005B755B"/>
    <w:rsid w:val="005C0B70"/>
    <w:rsid w:val="005C1B88"/>
    <w:rsid w:val="005C2488"/>
    <w:rsid w:val="005C2739"/>
    <w:rsid w:val="005C2CBE"/>
    <w:rsid w:val="005C3FE2"/>
    <w:rsid w:val="005C4BFE"/>
    <w:rsid w:val="005C4C70"/>
    <w:rsid w:val="005C4F28"/>
    <w:rsid w:val="005D03D0"/>
    <w:rsid w:val="005D04A5"/>
    <w:rsid w:val="005D2528"/>
    <w:rsid w:val="005D2CC4"/>
    <w:rsid w:val="005D3B9A"/>
    <w:rsid w:val="005D5AB9"/>
    <w:rsid w:val="005D5E28"/>
    <w:rsid w:val="005D6507"/>
    <w:rsid w:val="005D6D6C"/>
    <w:rsid w:val="005D7420"/>
    <w:rsid w:val="005E0634"/>
    <w:rsid w:val="005E06E6"/>
    <w:rsid w:val="005E0CDB"/>
    <w:rsid w:val="005E109F"/>
    <w:rsid w:val="005E320B"/>
    <w:rsid w:val="005E3EE0"/>
    <w:rsid w:val="005E463F"/>
    <w:rsid w:val="005E4B38"/>
    <w:rsid w:val="005E51BC"/>
    <w:rsid w:val="005E552A"/>
    <w:rsid w:val="005E603F"/>
    <w:rsid w:val="005E6429"/>
    <w:rsid w:val="005E772C"/>
    <w:rsid w:val="005E7941"/>
    <w:rsid w:val="005F26BB"/>
    <w:rsid w:val="005F31CF"/>
    <w:rsid w:val="005F3519"/>
    <w:rsid w:val="005F5F01"/>
    <w:rsid w:val="00600328"/>
    <w:rsid w:val="0060076A"/>
    <w:rsid w:val="0060132E"/>
    <w:rsid w:val="0060182A"/>
    <w:rsid w:val="00602DD2"/>
    <w:rsid w:val="00604BD2"/>
    <w:rsid w:val="006055A6"/>
    <w:rsid w:val="00607517"/>
    <w:rsid w:val="00610666"/>
    <w:rsid w:val="00611DEF"/>
    <w:rsid w:val="00611FCB"/>
    <w:rsid w:val="00612FF0"/>
    <w:rsid w:val="0061409F"/>
    <w:rsid w:val="00616C82"/>
    <w:rsid w:val="00617590"/>
    <w:rsid w:val="00617F68"/>
    <w:rsid w:val="0062089E"/>
    <w:rsid w:val="00620A0F"/>
    <w:rsid w:val="006211EF"/>
    <w:rsid w:val="00622765"/>
    <w:rsid w:val="00622833"/>
    <w:rsid w:val="0062528B"/>
    <w:rsid w:val="00627F98"/>
    <w:rsid w:val="0063013A"/>
    <w:rsid w:val="00630CF4"/>
    <w:rsid w:val="00632C52"/>
    <w:rsid w:val="00633D01"/>
    <w:rsid w:val="00634F7A"/>
    <w:rsid w:val="006351A1"/>
    <w:rsid w:val="00635F22"/>
    <w:rsid w:val="00635F8F"/>
    <w:rsid w:val="00643024"/>
    <w:rsid w:val="0064344D"/>
    <w:rsid w:val="00644908"/>
    <w:rsid w:val="00645900"/>
    <w:rsid w:val="006461CC"/>
    <w:rsid w:val="00650646"/>
    <w:rsid w:val="00651953"/>
    <w:rsid w:val="00654330"/>
    <w:rsid w:val="0065490D"/>
    <w:rsid w:val="0065590F"/>
    <w:rsid w:val="00655D23"/>
    <w:rsid w:val="0065637C"/>
    <w:rsid w:val="006607BF"/>
    <w:rsid w:val="00661E32"/>
    <w:rsid w:val="006639B3"/>
    <w:rsid w:val="00663FC9"/>
    <w:rsid w:val="006666AE"/>
    <w:rsid w:val="00666DD7"/>
    <w:rsid w:val="00670FC7"/>
    <w:rsid w:val="006714CC"/>
    <w:rsid w:val="00673CE7"/>
    <w:rsid w:val="00675C7F"/>
    <w:rsid w:val="00676581"/>
    <w:rsid w:val="006838E4"/>
    <w:rsid w:val="00684B03"/>
    <w:rsid w:val="006857B8"/>
    <w:rsid w:val="0068593D"/>
    <w:rsid w:val="006865CF"/>
    <w:rsid w:val="00687367"/>
    <w:rsid w:val="006879FF"/>
    <w:rsid w:val="00693DEE"/>
    <w:rsid w:val="00695C89"/>
    <w:rsid w:val="00696360"/>
    <w:rsid w:val="006A0553"/>
    <w:rsid w:val="006A1AD2"/>
    <w:rsid w:val="006A248D"/>
    <w:rsid w:val="006A4CA3"/>
    <w:rsid w:val="006A6F92"/>
    <w:rsid w:val="006B055D"/>
    <w:rsid w:val="006B0612"/>
    <w:rsid w:val="006B06D9"/>
    <w:rsid w:val="006B1580"/>
    <w:rsid w:val="006B1E2E"/>
    <w:rsid w:val="006B2357"/>
    <w:rsid w:val="006B4AB3"/>
    <w:rsid w:val="006B4C7A"/>
    <w:rsid w:val="006B5EC1"/>
    <w:rsid w:val="006B6F01"/>
    <w:rsid w:val="006C1010"/>
    <w:rsid w:val="006C1188"/>
    <w:rsid w:val="006C1CC0"/>
    <w:rsid w:val="006C35E9"/>
    <w:rsid w:val="006C42D1"/>
    <w:rsid w:val="006C431D"/>
    <w:rsid w:val="006C4ACE"/>
    <w:rsid w:val="006C6630"/>
    <w:rsid w:val="006D030C"/>
    <w:rsid w:val="006D3724"/>
    <w:rsid w:val="006D436B"/>
    <w:rsid w:val="006D4DE0"/>
    <w:rsid w:val="006D5E80"/>
    <w:rsid w:val="006D641E"/>
    <w:rsid w:val="006D6657"/>
    <w:rsid w:val="006D735F"/>
    <w:rsid w:val="006D73C5"/>
    <w:rsid w:val="006E0438"/>
    <w:rsid w:val="006E1FDA"/>
    <w:rsid w:val="006E3B64"/>
    <w:rsid w:val="006E42AD"/>
    <w:rsid w:val="006E5383"/>
    <w:rsid w:val="006E53F6"/>
    <w:rsid w:val="006E62CE"/>
    <w:rsid w:val="006E71B3"/>
    <w:rsid w:val="006E7420"/>
    <w:rsid w:val="006F10B9"/>
    <w:rsid w:val="006F1BB3"/>
    <w:rsid w:val="006F220C"/>
    <w:rsid w:val="006F23B7"/>
    <w:rsid w:val="006F2FB8"/>
    <w:rsid w:val="006F529E"/>
    <w:rsid w:val="006F5C2E"/>
    <w:rsid w:val="006F5CB5"/>
    <w:rsid w:val="006F6E91"/>
    <w:rsid w:val="006F7D3F"/>
    <w:rsid w:val="006F7F1E"/>
    <w:rsid w:val="00701065"/>
    <w:rsid w:val="00703F05"/>
    <w:rsid w:val="007045D2"/>
    <w:rsid w:val="007058FD"/>
    <w:rsid w:val="00705D55"/>
    <w:rsid w:val="00705ECF"/>
    <w:rsid w:val="00707EA7"/>
    <w:rsid w:val="00707F20"/>
    <w:rsid w:val="00711898"/>
    <w:rsid w:val="0071202C"/>
    <w:rsid w:val="007122C6"/>
    <w:rsid w:val="00712698"/>
    <w:rsid w:val="007128B4"/>
    <w:rsid w:val="007151FB"/>
    <w:rsid w:val="0071528D"/>
    <w:rsid w:val="00715398"/>
    <w:rsid w:val="007154C2"/>
    <w:rsid w:val="00717063"/>
    <w:rsid w:val="00717B20"/>
    <w:rsid w:val="00723F81"/>
    <w:rsid w:val="0072484C"/>
    <w:rsid w:val="007248DC"/>
    <w:rsid w:val="00724F2C"/>
    <w:rsid w:val="00724FF7"/>
    <w:rsid w:val="007253A0"/>
    <w:rsid w:val="00726F93"/>
    <w:rsid w:val="00727603"/>
    <w:rsid w:val="00730D24"/>
    <w:rsid w:val="00730E34"/>
    <w:rsid w:val="00731720"/>
    <w:rsid w:val="00732BA3"/>
    <w:rsid w:val="00732BB1"/>
    <w:rsid w:val="00732C6F"/>
    <w:rsid w:val="0073383A"/>
    <w:rsid w:val="00734BDF"/>
    <w:rsid w:val="00734FFA"/>
    <w:rsid w:val="00742153"/>
    <w:rsid w:val="00743F95"/>
    <w:rsid w:val="0074451D"/>
    <w:rsid w:val="00745BB6"/>
    <w:rsid w:val="007463D3"/>
    <w:rsid w:val="00747A8A"/>
    <w:rsid w:val="00750298"/>
    <w:rsid w:val="00750484"/>
    <w:rsid w:val="00750913"/>
    <w:rsid w:val="0075212D"/>
    <w:rsid w:val="007523BB"/>
    <w:rsid w:val="00752626"/>
    <w:rsid w:val="00753567"/>
    <w:rsid w:val="00755920"/>
    <w:rsid w:val="0075649C"/>
    <w:rsid w:val="00760719"/>
    <w:rsid w:val="00760734"/>
    <w:rsid w:val="007624E9"/>
    <w:rsid w:val="00764126"/>
    <w:rsid w:val="00764CB0"/>
    <w:rsid w:val="00766962"/>
    <w:rsid w:val="007708C7"/>
    <w:rsid w:val="007715BE"/>
    <w:rsid w:val="00772DA2"/>
    <w:rsid w:val="00774627"/>
    <w:rsid w:val="00774C76"/>
    <w:rsid w:val="00774D5B"/>
    <w:rsid w:val="00775229"/>
    <w:rsid w:val="007809AD"/>
    <w:rsid w:val="00781CDB"/>
    <w:rsid w:val="00782611"/>
    <w:rsid w:val="007838AD"/>
    <w:rsid w:val="00783B10"/>
    <w:rsid w:val="0078436D"/>
    <w:rsid w:val="007847CC"/>
    <w:rsid w:val="00784DC5"/>
    <w:rsid w:val="007900CE"/>
    <w:rsid w:val="007922C1"/>
    <w:rsid w:val="00793DF8"/>
    <w:rsid w:val="00795509"/>
    <w:rsid w:val="007969BE"/>
    <w:rsid w:val="00797B18"/>
    <w:rsid w:val="007A0138"/>
    <w:rsid w:val="007A16E8"/>
    <w:rsid w:val="007A1F54"/>
    <w:rsid w:val="007A2AD1"/>
    <w:rsid w:val="007A4993"/>
    <w:rsid w:val="007A7102"/>
    <w:rsid w:val="007B0E6E"/>
    <w:rsid w:val="007B18B6"/>
    <w:rsid w:val="007B1B61"/>
    <w:rsid w:val="007B29EB"/>
    <w:rsid w:val="007B3E13"/>
    <w:rsid w:val="007B547D"/>
    <w:rsid w:val="007C05BC"/>
    <w:rsid w:val="007C0CFD"/>
    <w:rsid w:val="007C19CF"/>
    <w:rsid w:val="007C1C67"/>
    <w:rsid w:val="007C1E57"/>
    <w:rsid w:val="007C20BC"/>
    <w:rsid w:val="007C333C"/>
    <w:rsid w:val="007C4ACD"/>
    <w:rsid w:val="007C4ECD"/>
    <w:rsid w:val="007C55FF"/>
    <w:rsid w:val="007D081C"/>
    <w:rsid w:val="007D08CE"/>
    <w:rsid w:val="007D27B4"/>
    <w:rsid w:val="007D28EC"/>
    <w:rsid w:val="007D3F9C"/>
    <w:rsid w:val="007D41FA"/>
    <w:rsid w:val="007D49CF"/>
    <w:rsid w:val="007D4F49"/>
    <w:rsid w:val="007D6778"/>
    <w:rsid w:val="007D6DA1"/>
    <w:rsid w:val="007D6E64"/>
    <w:rsid w:val="007E07E7"/>
    <w:rsid w:val="007E0A69"/>
    <w:rsid w:val="007E0B95"/>
    <w:rsid w:val="007E0B98"/>
    <w:rsid w:val="007E119E"/>
    <w:rsid w:val="007E16DC"/>
    <w:rsid w:val="007E23B3"/>
    <w:rsid w:val="007E490C"/>
    <w:rsid w:val="007E5C9C"/>
    <w:rsid w:val="007E5D9F"/>
    <w:rsid w:val="007E6C25"/>
    <w:rsid w:val="007F0D93"/>
    <w:rsid w:val="007F24AB"/>
    <w:rsid w:val="007F25CF"/>
    <w:rsid w:val="007F2DFD"/>
    <w:rsid w:val="007F43E3"/>
    <w:rsid w:val="007F5B09"/>
    <w:rsid w:val="007F7EDE"/>
    <w:rsid w:val="0080056B"/>
    <w:rsid w:val="0080154A"/>
    <w:rsid w:val="00801F3D"/>
    <w:rsid w:val="008023D4"/>
    <w:rsid w:val="008027FE"/>
    <w:rsid w:val="00803455"/>
    <w:rsid w:val="00805783"/>
    <w:rsid w:val="00807135"/>
    <w:rsid w:val="00811DD8"/>
    <w:rsid w:val="00812A55"/>
    <w:rsid w:val="00812E4A"/>
    <w:rsid w:val="0081308A"/>
    <w:rsid w:val="0081320D"/>
    <w:rsid w:val="00813D14"/>
    <w:rsid w:val="00815C80"/>
    <w:rsid w:val="008202D6"/>
    <w:rsid w:val="0082101B"/>
    <w:rsid w:val="0082239B"/>
    <w:rsid w:val="008229E0"/>
    <w:rsid w:val="00822B3A"/>
    <w:rsid w:val="00822BED"/>
    <w:rsid w:val="008232DE"/>
    <w:rsid w:val="00823712"/>
    <w:rsid w:val="00823758"/>
    <w:rsid w:val="00825C25"/>
    <w:rsid w:val="008263EB"/>
    <w:rsid w:val="0082692F"/>
    <w:rsid w:val="00827E9F"/>
    <w:rsid w:val="0083137D"/>
    <w:rsid w:val="00832013"/>
    <w:rsid w:val="008320C2"/>
    <w:rsid w:val="00832209"/>
    <w:rsid w:val="00832856"/>
    <w:rsid w:val="00832C65"/>
    <w:rsid w:val="00840484"/>
    <w:rsid w:val="00841F6B"/>
    <w:rsid w:val="00842183"/>
    <w:rsid w:val="00842858"/>
    <w:rsid w:val="00844191"/>
    <w:rsid w:val="0084686B"/>
    <w:rsid w:val="00847D2C"/>
    <w:rsid w:val="00850723"/>
    <w:rsid w:val="00850F6A"/>
    <w:rsid w:val="008515D0"/>
    <w:rsid w:val="00854245"/>
    <w:rsid w:val="008546DA"/>
    <w:rsid w:val="008561F1"/>
    <w:rsid w:val="00856BD6"/>
    <w:rsid w:val="00857D9B"/>
    <w:rsid w:val="00861A72"/>
    <w:rsid w:val="00862094"/>
    <w:rsid w:val="008620A1"/>
    <w:rsid w:val="008630CA"/>
    <w:rsid w:val="00863585"/>
    <w:rsid w:val="00863EA2"/>
    <w:rsid w:val="0086624C"/>
    <w:rsid w:val="00867CE5"/>
    <w:rsid w:val="00871181"/>
    <w:rsid w:val="00871D02"/>
    <w:rsid w:val="0087341B"/>
    <w:rsid w:val="008750C9"/>
    <w:rsid w:val="00875597"/>
    <w:rsid w:val="0087580C"/>
    <w:rsid w:val="00876F0E"/>
    <w:rsid w:val="0087715B"/>
    <w:rsid w:val="0088024E"/>
    <w:rsid w:val="00880D6C"/>
    <w:rsid w:val="00882BE8"/>
    <w:rsid w:val="00885B97"/>
    <w:rsid w:val="00886FBE"/>
    <w:rsid w:val="0089103A"/>
    <w:rsid w:val="00891511"/>
    <w:rsid w:val="00891824"/>
    <w:rsid w:val="00892033"/>
    <w:rsid w:val="00892100"/>
    <w:rsid w:val="0089326A"/>
    <w:rsid w:val="00893496"/>
    <w:rsid w:val="008945F9"/>
    <w:rsid w:val="00895321"/>
    <w:rsid w:val="00895709"/>
    <w:rsid w:val="00896016"/>
    <w:rsid w:val="00896FEE"/>
    <w:rsid w:val="00897700"/>
    <w:rsid w:val="008A052E"/>
    <w:rsid w:val="008A1873"/>
    <w:rsid w:val="008A48BD"/>
    <w:rsid w:val="008A50B0"/>
    <w:rsid w:val="008B0F59"/>
    <w:rsid w:val="008B15B9"/>
    <w:rsid w:val="008B2B1A"/>
    <w:rsid w:val="008B375D"/>
    <w:rsid w:val="008B3F47"/>
    <w:rsid w:val="008B49D7"/>
    <w:rsid w:val="008B5C9B"/>
    <w:rsid w:val="008B7E98"/>
    <w:rsid w:val="008C0799"/>
    <w:rsid w:val="008C38E0"/>
    <w:rsid w:val="008C3EB6"/>
    <w:rsid w:val="008C4D70"/>
    <w:rsid w:val="008C509D"/>
    <w:rsid w:val="008C615F"/>
    <w:rsid w:val="008C67AB"/>
    <w:rsid w:val="008C6B95"/>
    <w:rsid w:val="008D1A54"/>
    <w:rsid w:val="008D2458"/>
    <w:rsid w:val="008D3367"/>
    <w:rsid w:val="008D3A34"/>
    <w:rsid w:val="008D3D09"/>
    <w:rsid w:val="008D4B79"/>
    <w:rsid w:val="008D4C64"/>
    <w:rsid w:val="008D4FB8"/>
    <w:rsid w:val="008D5991"/>
    <w:rsid w:val="008D63FE"/>
    <w:rsid w:val="008D6733"/>
    <w:rsid w:val="008E0558"/>
    <w:rsid w:val="008E115F"/>
    <w:rsid w:val="008E1BB9"/>
    <w:rsid w:val="008E29C1"/>
    <w:rsid w:val="008E4B43"/>
    <w:rsid w:val="008E552D"/>
    <w:rsid w:val="008E596A"/>
    <w:rsid w:val="008E6F84"/>
    <w:rsid w:val="008F0D8A"/>
    <w:rsid w:val="008F25F8"/>
    <w:rsid w:val="008F29B9"/>
    <w:rsid w:val="008F3931"/>
    <w:rsid w:val="008F425F"/>
    <w:rsid w:val="008F4E44"/>
    <w:rsid w:val="008F58CA"/>
    <w:rsid w:val="008F7CBC"/>
    <w:rsid w:val="009003A5"/>
    <w:rsid w:val="009010FF"/>
    <w:rsid w:val="00901D2D"/>
    <w:rsid w:val="00902A73"/>
    <w:rsid w:val="00902D50"/>
    <w:rsid w:val="00903BC8"/>
    <w:rsid w:val="00904B31"/>
    <w:rsid w:val="00905A06"/>
    <w:rsid w:val="00905A8B"/>
    <w:rsid w:val="00905DD2"/>
    <w:rsid w:val="00906251"/>
    <w:rsid w:val="00913CAC"/>
    <w:rsid w:val="0091424E"/>
    <w:rsid w:val="00916644"/>
    <w:rsid w:val="00920123"/>
    <w:rsid w:val="00920FE1"/>
    <w:rsid w:val="0092174E"/>
    <w:rsid w:val="00923914"/>
    <w:rsid w:val="00923CCD"/>
    <w:rsid w:val="00924340"/>
    <w:rsid w:val="00924E25"/>
    <w:rsid w:val="0092546C"/>
    <w:rsid w:val="009264DA"/>
    <w:rsid w:val="00926883"/>
    <w:rsid w:val="00926B53"/>
    <w:rsid w:val="00927246"/>
    <w:rsid w:val="009312A2"/>
    <w:rsid w:val="00931D32"/>
    <w:rsid w:val="00932082"/>
    <w:rsid w:val="00933436"/>
    <w:rsid w:val="00933875"/>
    <w:rsid w:val="009340F4"/>
    <w:rsid w:val="00934564"/>
    <w:rsid w:val="00934F28"/>
    <w:rsid w:val="009357CC"/>
    <w:rsid w:val="00937F75"/>
    <w:rsid w:val="00937FD3"/>
    <w:rsid w:val="00940979"/>
    <w:rsid w:val="009411FF"/>
    <w:rsid w:val="009413D0"/>
    <w:rsid w:val="00942BCB"/>
    <w:rsid w:val="00944016"/>
    <w:rsid w:val="00944312"/>
    <w:rsid w:val="00945910"/>
    <w:rsid w:val="00945A3B"/>
    <w:rsid w:val="00946A38"/>
    <w:rsid w:val="0094708D"/>
    <w:rsid w:val="00947C74"/>
    <w:rsid w:val="00950830"/>
    <w:rsid w:val="00950AF0"/>
    <w:rsid w:val="00951E5C"/>
    <w:rsid w:val="009534B1"/>
    <w:rsid w:val="009540E4"/>
    <w:rsid w:val="00954108"/>
    <w:rsid w:val="00954388"/>
    <w:rsid w:val="00954A5E"/>
    <w:rsid w:val="00955363"/>
    <w:rsid w:val="009561ED"/>
    <w:rsid w:val="00956480"/>
    <w:rsid w:val="00956A9B"/>
    <w:rsid w:val="00956D2C"/>
    <w:rsid w:val="009572EB"/>
    <w:rsid w:val="009603DE"/>
    <w:rsid w:val="00962AB2"/>
    <w:rsid w:val="009656AD"/>
    <w:rsid w:val="009658CF"/>
    <w:rsid w:val="00966E09"/>
    <w:rsid w:val="00967072"/>
    <w:rsid w:val="00967635"/>
    <w:rsid w:val="00970B46"/>
    <w:rsid w:val="00970C2E"/>
    <w:rsid w:val="009714F9"/>
    <w:rsid w:val="00972161"/>
    <w:rsid w:val="00974007"/>
    <w:rsid w:val="0097489B"/>
    <w:rsid w:val="00974A48"/>
    <w:rsid w:val="00975059"/>
    <w:rsid w:val="009752BB"/>
    <w:rsid w:val="009752D7"/>
    <w:rsid w:val="009757DD"/>
    <w:rsid w:val="009771A9"/>
    <w:rsid w:val="00977A41"/>
    <w:rsid w:val="0098169B"/>
    <w:rsid w:val="0098191C"/>
    <w:rsid w:val="009825C9"/>
    <w:rsid w:val="00982E4D"/>
    <w:rsid w:val="00986C84"/>
    <w:rsid w:val="00986F03"/>
    <w:rsid w:val="00990911"/>
    <w:rsid w:val="00990CAA"/>
    <w:rsid w:val="0099305E"/>
    <w:rsid w:val="009958D7"/>
    <w:rsid w:val="0099724B"/>
    <w:rsid w:val="00997A2D"/>
    <w:rsid w:val="009A1B8B"/>
    <w:rsid w:val="009A1E86"/>
    <w:rsid w:val="009A24E3"/>
    <w:rsid w:val="009A370B"/>
    <w:rsid w:val="009A42EE"/>
    <w:rsid w:val="009A4421"/>
    <w:rsid w:val="009A456F"/>
    <w:rsid w:val="009A52D9"/>
    <w:rsid w:val="009A59AB"/>
    <w:rsid w:val="009A6256"/>
    <w:rsid w:val="009A7AB9"/>
    <w:rsid w:val="009B04B0"/>
    <w:rsid w:val="009B14B0"/>
    <w:rsid w:val="009B299F"/>
    <w:rsid w:val="009B4F7A"/>
    <w:rsid w:val="009B792B"/>
    <w:rsid w:val="009B7D2D"/>
    <w:rsid w:val="009C0306"/>
    <w:rsid w:val="009C09E1"/>
    <w:rsid w:val="009C109D"/>
    <w:rsid w:val="009C25CD"/>
    <w:rsid w:val="009C288E"/>
    <w:rsid w:val="009C2B95"/>
    <w:rsid w:val="009C2E68"/>
    <w:rsid w:val="009C53ED"/>
    <w:rsid w:val="009C6720"/>
    <w:rsid w:val="009C6944"/>
    <w:rsid w:val="009C6B35"/>
    <w:rsid w:val="009D0158"/>
    <w:rsid w:val="009D1CF8"/>
    <w:rsid w:val="009D2757"/>
    <w:rsid w:val="009D4C70"/>
    <w:rsid w:val="009D4D53"/>
    <w:rsid w:val="009D4DED"/>
    <w:rsid w:val="009E03A6"/>
    <w:rsid w:val="009E08F2"/>
    <w:rsid w:val="009E1347"/>
    <w:rsid w:val="009E1371"/>
    <w:rsid w:val="009E16DD"/>
    <w:rsid w:val="009E476D"/>
    <w:rsid w:val="009E58E4"/>
    <w:rsid w:val="009E6073"/>
    <w:rsid w:val="009E61AC"/>
    <w:rsid w:val="009E7216"/>
    <w:rsid w:val="009E7F3D"/>
    <w:rsid w:val="009F013A"/>
    <w:rsid w:val="009F1ED3"/>
    <w:rsid w:val="009F284E"/>
    <w:rsid w:val="009F45DD"/>
    <w:rsid w:val="009F519E"/>
    <w:rsid w:val="00A00047"/>
    <w:rsid w:val="00A00224"/>
    <w:rsid w:val="00A029A0"/>
    <w:rsid w:val="00A03142"/>
    <w:rsid w:val="00A03A31"/>
    <w:rsid w:val="00A04578"/>
    <w:rsid w:val="00A055F8"/>
    <w:rsid w:val="00A05C8F"/>
    <w:rsid w:val="00A071F1"/>
    <w:rsid w:val="00A0738F"/>
    <w:rsid w:val="00A079C3"/>
    <w:rsid w:val="00A1070F"/>
    <w:rsid w:val="00A10845"/>
    <w:rsid w:val="00A10A32"/>
    <w:rsid w:val="00A10AB0"/>
    <w:rsid w:val="00A12793"/>
    <w:rsid w:val="00A12874"/>
    <w:rsid w:val="00A13A49"/>
    <w:rsid w:val="00A13F85"/>
    <w:rsid w:val="00A14E9B"/>
    <w:rsid w:val="00A17122"/>
    <w:rsid w:val="00A21BE8"/>
    <w:rsid w:val="00A2219E"/>
    <w:rsid w:val="00A22B0A"/>
    <w:rsid w:val="00A252D6"/>
    <w:rsid w:val="00A27317"/>
    <w:rsid w:val="00A30462"/>
    <w:rsid w:val="00A323AB"/>
    <w:rsid w:val="00A3265A"/>
    <w:rsid w:val="00A333A7"/>
    <w:rsid w:val="00A33BAF"/>
    <w:rsid w:val="00A354E4"/>
    <w:rsid w:val="00A35E73"/>
    <w:rsid w:val="00A3653E"/>
    <w:rsid w:val="00A36E50"/>
    <w:rsid w:val="00A375B1"/>
    <w:rsid w:val="00A404E4"/>
    <w:rsid w:val="00A40644"/>
    <w:rsid w:val="00A40D17"/>
    <w:rsid w:val="00A410F4"/>
    <w:rsid w:val="00A423BF"/>
    <w:rsid w:val="00A43CBC"/>
    <w:rsid w:val="00A45253"/>
    <w:rsid w:val="00A46566"/>
    <w:rsid w:val="00A472D4"/>
    <w:rsid w:val="00A51F27"/>
    <w:rsid w:val="00A52A9A"/>
    <w:rsid w:val="00A53111"/>
    <w:rsid w:val="00A5606F"/>
    <w:rsid w:val="00A56F87"/>
    <w:rsid w:val="00A570FA"/>
    <w:rsid w:val="00A57AD7"/>
    <w:rsid w:val="00A57B41"/>
    <w:rsid w:val="00A601CA"/>
    <w:rsid w:val="00A606F0"/>
    <w:rsid w:val="00A61A83"/>
    <w:rsid w:val="00A62BB2"/>
    <w:rsid w:val="00A63C87"/>
    <w:rsid w:val="00A63E82"/>
    <w:rsid w:val="00A655E9"/>
    <w:rsid w:val="00A657A3"/>
    <w:rsid w:val="00A66410"/>
    <w:rsid w:val="00A67FEA"/>
    <w:rsid w:val="00A7022A"/>
    <w:rsid w:val="00A71310"/>
    <w:rsid w:val="00A71A66"/>
    <w:rsid w:val="00A72A8C"/>
    <w:rsid w:val="00A7496A"/>
    <w:rsid w:val="00A74A9B"/>
    <w:rsid w:val="00A7513F"/>
    <w:rsid w:val="00A75318"/>
    <w:rsid w:val="00A7570F"/>
    <w:rsid w:val="00A77116"/>
    <w:rsid w:val="00A802A8"/>
    <w:rsid w:val="00A80B55"/>
    <w:rsid w:val="00A80DB3"/>
    <w:rsid w:val="00A8372C"/>
    <w:rsid w:val="00A85436"/>
    <w:rsid w:val="00A870D1"/>
    <w:rsid w:val="00A87A9C"/>
    <w:rsid w:val="00A87C24"/>
    <w:rsid w:val="00A90965"/>
    <w:rsid w:val="00A91625"/>
    <w:rsid w:val="00A91F6F"/>
    <w:rsid w:val="00A92744"/>
    <w:rsid w:val="00A928D6"/>
    <w:rsid w:val="00A9460A"/>
    <w:rsid w:val="00AA11B7"/>
    <w:rsid w:val="00AA61D0"/>
    <w:rsid w:val="00AB4444"/>
    <w:rsid w:val="00AB5871"/>
    <w:rsid w:val="00AB696E"/>
    <w:rsid w:val="00AB6F09"/>
    <w:rsid w:val="00AB7B72"/>
    <w:rsid w:val="00AC06F7"/>
    <w:rsid w:val="00AC19E4"/>
    <w:rsid w:val="00AC2A3A"/>
    <w:rsid w:val="00AC316F"/>
    <w:rsid w:val="00AC3BE9"/>
    <w:rsid w:val="00AC5274"/>
    <w:rsid w:val="00AC5706"/>
    <w:rsid w:val="00AC5A87"/>
    <w:rsid w:val="00AC64F1"/>
    <w:rsid w:val="00AC663C"/>
    <w:rsid w:val="00AC671E"/>
    <w:rsid w:val="00AC696E"/>
    <w:rsid w:val="00AC7804"/>
    <w:rsid w:val="00AD0E09"/>
    <w:rsid w:val="00AD222C"/>
    <w:rsid w:val="00AD222D"/>
    <w:rsid w:val="00AD237E"/>
    <w:rsid w:val="00AD250A"/>
    <w:rsid w:val="00AD283A"/>
    <w:rsid w:val="00AD603C"/>
    <w:rsid w:val="00AD7525"/>
    <w:rsid w:val="00AD78CB"/>
    <w:rsid w:val="00AE0B00"/>
    <w:rsid w:val="00AE2771"/>
    <w:rsid w:val="00AE37F0"/>
    <w:rsid w:val="00AE3A4C"/>
    <w:rsid w:val="00AE41A5"/>
    <w:rsid w:val="00AE48DC"/>
    <w:rsid w:val="00AE6110"/>
    <w:rsid w:val="00AE6519"/>
    <w:rsid w:val="00AE65F7"/>
    <w:rsid w:val="00AE755E"/>
    <w:rsid w:val="00AE7C75"/>
    <w:rsid w:val="00AF13BC"/>
    <w:rsid w:val="00AF2284"/>
    <w:rsid w:val="00AF32C2"/>
    <w:rsid w:val="00AF3612"/>
    <w:rsid w:val="00AF3DA7"/>
    <w:rsid w:val="00AF47FC"/>
    <w:rsid w:val="00AF6399"/>
    <w:rsid w:val="00B0074C"/>
    <w:rsid w:val="00B00EFD"/>
    <w:rsid w:val="00B010B2"/>
    <w:rsid w:val="00B02B99"/>
    <w:rsid w:val="00B03033"/>
    <w:rsid w:val="00B033A5"/>
    <w:rsid w:val="00B03FB7"/>
    <w:rsid w:val="00B07FD5"/>
    <w:rsid w:val="00B10127"/>
    <w:rsid w:val="00B11A29"/>
    <w:rsid w:val="00B12382"/>
    <w:rsid w:val="00B123AF"/>
    <w:rsid w:val="00B12E8D"/>
    <w:rsid w:val="00B12F12"/>
    <w:rsid w:val="00B1677F"/>
    <w:rsid w:val="00B17D37"/>
    <w:rsid w:val="00B20B3F"/>
    <w:rsid w:val="00B21494"/>
    <w:rsid w:val="00B2490F"/>
    <w:rsid w:val="00B25F80"/>
    <w:rsid w:val="00B27E3A"/>
    <w:rsid w:val="00B27EE9"/>
    <w:rsid w:val="00B3058E"/>
    <w:rsid w:val="00B3334D"/>
    <w:rsid w:val="00B33FA0"/>
    <w:rsid w:val="00B34C2F"/>
    <w:rsid w:val="00B350E7"/>
    <w:rsid w:val="00B3551D"/>
    <w:rsid w:val="00B36317"/>
    <w:rsid w:val="00B36C43"/>
    <w:rsid w:val="00B37CE7"/>
    <w:rsid w:val="00B40B81"/>
    <w:rsid w:val="00B41554"/>
    <w:rsid w:val="00B417F1"/>
    <w:rsid w:val="00B4356E"/>
    <w:rsid w:val="00B43B24"/>
    <w:rsid w:val="00B46778"/>
    <w:rsid w:val="00B46B34"/>
    <w:rsid w:val="00B47F09"/>
    <w:rsid w:val="00B508EC"/>
    <w:rsid w:val="00B50CD2"/>
    <w:rsid w:val="00B525CF"/>
    <w:rsid w:val="00B526CF"/>
    <w:rsid w:val="00B52BEE"/>
    <w:rsid w:val="00B537AC"/>
    <w:rsid w:val="00B539DD"/>
    <w:rsid w:val="00B53DB5"/>
    <w:rsid w:val="00B543EE"/>
    <w:rsid w:val="00B5562C"/>
    <w:rsid w:val="00B55DB5"/>
    <w:rsid w:val="00B61293"/>
    <w:rsid w:val="00B6406A"/>
    <w:rsid w:val="00B65A2E"/>
    <w:rsid w:val="00B668E0"/>
    <w:rsid w:val="00B70469"/>
    <w:rsid w:val="00B72173"/>
    <w:rsid w:val="00B72EE0"/>
    <w:rsid w:val="00B735E0"/>
    <w:rsid w:val="00B73958"/>
    <w:rsid w:val="00B73967"/>
    <w:rsid w:val="00B73D81"/>
    <w:rsid w:val="00B762E8"/>
    <w:rsid w:val="00B765C2"/>
    <w:rsid w:val="00B766CE"/>
    <w:rsid w:val="00B7689F"/>
    <w:rsid w:val="00B80937"/>
    <w:rsid w:val="00B82AE7"/>
    <w:rsid w:val="00B83740"/>
    <w:rsid w:val="00B85080"/>
    <w:rsid w:val="00B85453"/>
    <w:rsid w:val="00B85F11"/>
    <w:rsid w:val="00B868CF"/>
    <w:rsid w:val="00B91B04"/>
    <w:rsid w:val="00B91DD2"/>
    <w:rsid w:val="00B923DC"/>
    <w:rsid w:val="00B925BA"/>
    <w:rsid w:val="00B94BF9"/>
    <w:rsid w:val="00B95230"/>
    <w:rsid w:val="00B95B6A"/>
    <w:rsid w:val="00B964FA"/>
    <w:rsid w:val="00B96977"/>
    <w:rsid w:val="00BA3D3F"/>
    <w:rsid w:val="00BA4A95"/>
    <w:rsid w:val="00BA4B83"/>
    <w:rsid w:val="00BA4D55"/>
    <w:rsid w:val="00BA5404"/>
    <w:rsid w:val="00BA568E"/>
    <w:rsid w:val="00BA6152"/>
    <w:rsid w:val="00BA6606"/>
    <w:rsid w:val="00BA6614"/>
    <w:rsid w:val="00BA6C59"/>
    <w:rsid w:val="00BA7EF1"/>
    <w:rsid w:val="00BB1D28"/>
    <w:rsid w:val="00BB208E"/>
    <w:rsid w:val="00BB2E61"/>
    <w:rsid w:val="00BB2ECD"/>
    <w:rsid w:val="00BB3743"/>
    <w:rsid w:val="00BB41EC"/>
    <w:rsid w:val="00BB4379"/>
    <w:rsid w:val="00BB5D25"/>
    <w:rsid w:val="00BB5EA2"/>
    <w:rsid w:val="00BB5EBF"/>
    <w:rsid w:val="00BB5F04"/>
    <w:rsid w:val="00BB6D28"/>
    <w:rsid w:val="00BB6F33"/>
    <w:rsid w:val="00BC1BC4"/>
    <w:rsid w:val="00BC4620"/>
    <w:rsid w:val="00BC6EF3"/>
    <w:rsid w:val="00BC7018"/>
    <w:rsid w:val="00BC73AB"/>
    <w:rsid w:val="00BC78B5"/>
    <w:rsid w:val="00BC7B5F"/>
    <w:rsid w:val="00BD14C3"/>
    <w:rsid w:val="00BD1C41"/>
    <w:rsid w:val="00BD2475"/>
    <w:rsid w:val="00BD30C7"/>
    <w:rsid w:val="00BD398D"/>
    <w:rsid w:val="00BD3F4E"/>
    <w:rsid w:val="00BD40E7"/>
    <w:rsid w:val="00BD4180"/>
    <w:rsid w:val="00BD45DC"/>
    <w:rsid w:val="00BD4745"/>
    <w:rsid w:val="00BD5E67"/>
    <w:rsid w:val="00BE0FC1"/>
    <w:rsid w:val="00BE233E"/>
    <w:rsid w:val="00BE2A64"/>
    <w:rsid w:val="00BE32AB"/>
    <w:rsid w:val="00BE3B36"/>
    <w:rsid w:val="00BE441F"/>
    <w:rsid w:val="00BE60E3"/>
    <w:rsid w:val="00BE799D"/>
    <w:rsid w:val="00BE7D84"/>
    <w:rsid w:val="00BF0CF1"/>
    <w:rsid w:val="00BF2540"/>
    <w:rsid w:val="00BF26A2"/>
    <w:rsid w:val="00BF2BB2"/>
    <w:rsid w:val="00BF3002"/>
    <w:rsid w:val="00BF362F"/>
    <w:rsid w:val="00BF3C1C"/>
    <w:rsid w:val="00BF3F59"/>
    <w:rsid w:val="00BF5180"/>
    <w:rsid w:val="00BF59F6"/>
    <w:rsid w:val="00BF6A17"/>
    <w:rsid w:val="00C025C7"/>
    <w:rsid w:val="00C0394B"/>
    <w:rsid w:val="00C03BF3"/>
    <w:rsid w:val="00C040A4"/>
    <w:rsid w:val="00C05F66"/>
    <w:rsid w:val="00C062D1"/>
    <w:rsid w:val="00C06DCC"/>
    <w:rsid w:val="00C07EAD"/>
    <w:rsid w:val="00C10D5B"/>
    <w:rsid w:val="00C11244"/>
    <w:rsid w:val="00C11BD2"/>
    <w:rsid w:val="00C122F4"/>
    <w:rsid w:val="00C126C0"/>
    <w:rsid w:val="00C12A40"/>
    <w:rsid w:val="00C1446E"/>
    <w:rsid w:val="00C145EC"/>
    <w:rsid w:val="00C146C9"/>
    <w:rsid w:val="00C16826"/>
    <w:rsid w:val="00C172A0"/>
    <w:rsid w:val="00C17644"/>
    <w:rsid w:val="00C17B72"/>
    <w:rsid w:val="00C205DA"/>
    <w:rsid w:val="00C209E8"/>
    <w:rsid w:val="00C232C3"/>
    <w:rsid w:val="00C23320"/>
    <w:rsid w:val="00C2380E"/>
    <w:rsid w:val="00C23980"/>
    <w:rsid w:val="00C241B9"/>
    <w:rsid w:val="00C24DC6"/>
    <w:rsid w:val="00C26BD1"/>
    <w:rsid w:val="00C26D30"/>
    <w:rsid w:val="00C3009B"/>
    <w:rsid w:val="00C3368A"/>
    <w:rsid w:val="00C33AB3"/>
    <w:rsid w:val="00C3418D"/>
    <w:rsid w:val="00C34453"/>
    <w:rsid w:val="00C35F25"/>
    <w:rsid w:val="00C371D1"/>
    <w:rsid w:val="00C3722B"/>
    <w:rsid w:val="00C37292"/>
    <w:rsid w:val="00C3754F"/>
    <w:rsid w:val="00C37667"/>
    <w:rsid w:val="00C414E5"/>
    <w:rsid w:val="00C41F63"/>
    <w:rsid w:val="00C437D6"/>
    <w:rsid w:val="00C450EA"/>
    <w:rsid w:val="00C46162"/>
    <w:rsid w:val="00C461E5"/>
    <w:rsid w:val="00C46B00"/>
    <w:rsid w:val="00C50453"/>
    <w:rsid w:val="00C52B1D"/>
    <w:rsid w:val="00C54823"/>
    <w:rsid w:val="00C55D91"/>
    <w:rsid w:val="00C561D6"/>
    <w:rsid w:val="00C56F1F"/>
    <w:rsid w:val="00C60F81"/>
    <w:rsid w:val="00C61B1E"/>
    <w:rsid w:val="00C61B29"/>
    <w:rsid w:val="00C61FB2"/>
    <w:rsid w:val="00C6235C"/>
    <w:rsid w:val="00C62377"/>
    <w:rsid w:val="00C6340F"/>
    <w:rsid w:val="00C6546E"/>
    <w:rsid w:val="00C6631B"/>
    <w:rsid w:val="00C674B3"/>
    <w:rsid w:val="00C67AE2"/>
    <w:rsid w:val="00C67F6E"/>
    <w:rsid w:val="00C700E4"/>
    <w:rsid w:val="00C70279"/>
    <w:rsid w:val="00C716B0"/>
    <w:rsid w:val="00C71DE9"/>
    <w:rsid w:val="00C74274"/>
    <w:rsid w:val="00C75299"/>
    <w:rsid w:val="00C76A3F"/>
    <w:rsid w:val="00C771C2"/>
    <w:rsid w:val="00C77EBB"/>
    <w:rsid w:val="00C808CF"/>
    <w:rsid w:val="00C80922"/>
    <w:rsid w:val="00C82300"/>
    <w:rsid w:val="00C859BA"/>
    <w:rsid w:val="00C85A89"/>
    <w:rsid w:val="00C87C6B"/>
    <w:rsid w:val="00C91961"/>
    <w:rsid w:val="00C91D30"/>
    <w:rsid w:val="00C91D7F"/>
    <w:rsid w:val="00C91DED"/>
    <w:rsid w:val="00C92625"/>
    <w:rsid w:val="00C9360A"/>
    <w:rsid w:val="00C93F8C"/>
    <w:rsid w:val="00C956FD"/>
    <w:rsid w:val="00C9581F"/>
    <w:rsid w:val="00C96792"/>
    <w:rsid w:val="00C97143"/>
    <w:rsid w:val="00C97665"/>
    <w:rsid w:val="00C97826"/>
    <w:rsid w:val="00CA00F6"/>
    <w:rsid w:val="00CA037A"/>
    <w:rsid w:val="00CA1A6C"/>
    <w:rsid w:val="00CA2FC0"/>
    <w:rsid w:val="00CA3EE8"/>
    <w:rsid w:val="00CA47F9"/>
    <w:rsid w:val="00CA4EE5"/>
    <w:rsid w:val="00CA6788"/>
    <w:rsid w:val="00CA7347"/>
    <w:rsid w:val="00CB0FCD"/>
    <w:rsid w:val="00CB6B68"/>
    <w:rsid w:val="00CC096F"/>
    <w:rsid w:val="00CC0AD1"/>
    <w:rsid w:val="00CC0FBB"/>
    <w:rsid w:val="00CC19EB"/>
    <w:rsid w:val="00CC29F3"/>
    <w:rsid w:val="00CC35CF"/>
    <w:rsid w:val="00CC49A1"/>
    <w:rsid w:val="00CD0363"/>
    <w:rsid w:val="00CD0834"/>
    <w:rsid w:val="00CD18BF"/>
    <w:rsid w:val="00CD362A"/>
    <w:rsid w:val="00CD3EB6"/>
    <w:rsid w:val="00CD46CD"/>
    <w:rsid w:val="00CD5537"/>
    <w:rsid w:val="00CD7E9B"/>
    <w:rsid w:val="00CE0DB7"/>
    <w:rsid w:val="00CE1F2C"/>
    <w:rsid w:val="00CE28F2"/>
    <w:rsid w:val="00CE32B4"/>
    <w:rsid w:val="00CE3CA3"/>
    <w:rsid w:val="00CE3D2C"/>
    <w:rsid w:val="00CE3E8E"/>
    <w:rsid w:val="00CE49A0"/>
    <w:rsid w:val="00CE4D86"/>
    <w:rsid w:val="00CF032E"/>
    <w:rsid w:val="00CF4851"/>
    <w:rsid w:val="00CF519D"/>
    <w:rsid w:val="00CF5B49"/>
    <w:rsid w:val="00CF5ED5"/>
    <w:rsid w:val="00CF5F17"/>
    <w:rsid w:val="00CF76EE"/>
    <w:rsid w:val="00CF7777"/>
    <w:rsid w:val="00D000AE"/>
    <w:rsid w:val="00D001DF"/>
    <w:rsid w:val="00D01102"/>
    <w:rsid w:val="00D0136F"/>
    <w:rsid w:val="00D0144A"/>
    <w:rsid w:val="00D024D8"/>
    <w:rsid w:val="00D04A36"/>
    <w:rsid w:val="00D04C7A"/>
    <w:rsid w:val="00D053F4"/>
    <w:rsid w:val="00D05BD1"/>
    <w:rsid w:val="00D0640E"/>
    <w:rsid w:val="00D07733"/>
    <w:rsid w:val="00D104BB"/>
    <w:rsid w:val="00D134C5"/>
    <w:rsid w:val="00D16558"/>
    <w:rsid w:val="00D16573"/>
    <w:rsid w:val="00D16775"/>
    <w:rsid w:val="00D16947"/>
    <w:rsid w:val="00D16D30"/>
    <w:rsid w:val="00D17B4C"/>
    <w:rsid w:val="00D17CAC"/>
    <w:rsid w:val="00D17CC0"/>
    <w:rsid w:val="00D20BF7"/>
    <w:rsid w:val="00D21296"/>
    <w:rsid w:val="00D2132C"/>
    <w:rsid w:val="00D22225"/>
    <w:rsid w:val="00D22DC6"/>
    <w:rsid w:val="00D233E2"/>
    <w:rsid w:val="00D23A8F"/>
    <w:rsid w:val="00D2500E"/>
    <w:rsid w:val="00D2557A"/>
    <w:rsid w:val="00D2685A"/>
    <w:rsid w:val="00D27023"/>
    <w:rsid w:val="00D27516"/>
    <w:rsid w:val="00D2759C"/>
    <w:rsid w:val="00D2792D"/>
    <w:rsid w:val="00D27F01"/>
    <w:rsid w:val="00D306B5"/>
    <w:rsid w:val="00D308EA"/>
    <w:rsid w:val="00D36063"/>
    <w:rsid w:val="00D3704B"/>
    <w:rsid w:val="00D372BC"/>
    <w:rsid w:val="00D4018D"/>
    <w:rsid w:val="00D41582"/>
    <w:rsid w:val="00D4348D"/>
    <w:rsid w:val="00D4352B"/>
    <w:rsid w:val="00D440D7"/>
    <w:rsid w:val="00D44BC1"/>
    <w:rsid w:val="00D450EF"/>
    <w:rsid w:val="00D45205"/>
    <w:rsid w:val="00D460FE"/>
    <w:rsid w:val="00D4731F"/>
    <w:rsid w:val="00D47481"/>
    <w:rsid w:val="00D479C3"/>
    <w:rsid w:val="00D514B4"/>
    <w:rsid w:val="00D5179A"/>
    <w:rsid w:val="00D517F8"/>
    <w:rsid w:val="00D51EF3"/>
    <w:rsid w:val="00D521A7"/>
    <w:rsid w:val="00D528A1"/>
    <w:rsid w:val="00D528D2"/>
    <w:rsid w:val="00D5452F"/>
    <w:rsid w:val="00D55208"/>
    <w:rsid w:val="00D5678A"/>
    <w:rsid w:val="00D613A5"/>
    <w:rsid w:val="00D62E78"/>
    <w:rsid w:val="00D6337F"/>
    <w:rsid w:val="00D64C79"/>
    <w:rsid w:val="00D64E72"/>
    <w:rsid w:val="00D65203"/>
    <w:rsid w:val="00D652AD"/>
    <w:rsid w:val="00D66276"/>
    <w:rsid w:val="00D67628"/>
    <w:rsid w:val="00D67979"/>
    <w:rsid w:val="00D679B0"/>
    <w:rsid w:val="00D67F4F"/>
    <w:rsid w:val="00D712A7"/>
    <w:rsid w:val="00D7243E"/>
    <w:rsid w:val="00D7530D"/>
    <w:rsid w:val="00D75D63"/>
    <w:rsid w:val="00D82320"/>
    <w:rsid w:val="00D83736"/>
    <w:rsid w:val="00D8686B"/>
    <w:rsid w:val="00D914C1"/>
    <w:rsid w:val="00D921FD"/>
    <w:rsid w:val="00D93257"/>
    <w:rsid w:val="00D93F44"/>
    <w:rsid w:val="00D943E8"/>
    <w:rsid w:val="00D94677"/>
    <w:rsid w:val="00D9488A"/>
    <w:rsid w:val="00D94C0C"/>
    <w:rsid w:val="00D9554B"/>
    <w:rsid w:val="00D95D26"/>
    <w:rsid w:val="00D963F9"/>
    <w:rsid w:val="00DA030F"/>
    <w:rsid w:val="00DA035D"/>
    <w:rsid w:val="00DA32FA"/>
    <w:rsid w:val="00DA3720"/>
    <w:rsid w:val="00DA4253"/>
    <w:rsid w:val="00DA533D"/>
    <w:rsid w:val="00DA70B4"/>
    <w:rsid w:val="00DB006A"/>
    <w:rsid w:val="00DB19F9"/>
    <w:rsid w:val="00DB384A"/>
    <w:rsid w:val="00DB3AF4"/>
    <w:rsid w:val="00DB47FD"/>
    <w:rsid w:val="00DB4DB1"/>
    <w:rsid w:val="00DB4E58"/>
    <w:rsid w:val="00DB5547"/>
    <w:rsid w:val="00DB6B51"/>
    <w:rsid w:val="00DB6DB4"/>
    <w:rsid w:val="00DB709B"/>
    <w:rsid w:val="00DB794B"/>
    <w:rsid w:val="00DC0847"/>
    <w:rsid w:val="00DC1737"/>
    <w:rsid w:val="00DC34A9"/>
    <w:rsid w:val="00DC4404"/>
    <w:rsid w:val="00DC5173"/>
    <w:rsid w:val="00DC5248"/>
    <w:rsid w:val="00DC5C24"/>
    <w:rsid w:val="00DC5E13"/>
    <w:rsid w:val="00DD051A"/>
    <w:rsid w:val="00DD56C2"/>
    <w:rsid w:val="00DE0701"/>
    <w:rsid w:val="00DE11B1"/>
    <w:rsid w:val="00DE1AAC"/>
    <w:rsid w:val="00DE23FA"/>
    <w:rsid w:val="00DE2948"/>
    <w:rsid w:val="00DE2F6B"/>
    <w:rsid w:val="00DE355A"/>
    <w:rsid w:val="00DE7347"/>
    <w:rsid w:val="00DE7AE6"/>
    <w:rsid w:val="00DF092B"/>
    <w:rsid w:val="00DF12C2"/>
    <w:rsid w:val="00DF1688"/>
    <w:rsid w:val="00DF1E02"/>
    <w:rsid w:val="00DF2586"/>
    <w:rsid w:val="00DF4611"/>
    <w:rsid w:val="00DF4BB0"/>
    <w:rsid w:val="00DF4D2E"/>
    <w:rsid w:val="00DF4DAF"/>
    <w:rsid w:val="00DF4EEA"/>
    <w:rsid w:val="00DF6549"/>
    <w:rsid w:val="00DF68E5"/>
    <w:rsid w:val="00DF74CB"/>
    <w:rsid w:val="00E00000"/>
    <w:rsid w:val="00E001FA"/>
    <w:rsid w:val="00E0188D"/>
    <w:rsid w:val="00E02258"/>
    <w:rsid w:val="00E0310C"/>
    <w:rsid w:val="00E04729"/>
    <w:rsid w:val="00E06EA5"/>
    <w:rsid w:val="00E0773D"/>
    <w:rsid w:val="00E10C3D"/>
    <w:rsid w:val="00E11DF9"/>
    <w:rsid w:val="00E11F42"/>
    <w:rsid w:val="00E126BF"/>
    <w:rsid w:val="00E12832"/>
    <w:rsid w:val="00E128D2"/>
    <w:rsid w:val="00E1410B"/>
    <w:rsid w:val="00E143F9"/>
    <w:rsid w:val="00E15E22"/>
    <w:rsid w:val="00E16607"/>
    <w:rsid w:val="00E1749F"/>
    <w:rsid w:val="00E17CB6"/>
    <w:rsid w:val="00E200A4"/>
    <w:rsid w:val="00E23043"/>
    <w:rsid w:val="00E2502D"/>
    <w:rsid w:val="00E25D83"/>
    <w:rsid w:val="00E26752"/>
    <w:rsid w:val="00E27D94"/>
    <w:rsid w:val="00E30C1C"/>
    <w:rsid w:val="00E33A10"/>
    <w:rsid w:val="00E351D3"/>
    <w:rsid w:val="00E37855"/>
    <w:rsid w:val="00E37E6D"/>
    <w:rsid w:val="00E40B8D"/>
    <w:rsid w:val="00E4186C"/>
    <w:rsid w:val="00E43441"/>
    <w:rsid w:val="00E44FE2"/>
    <w:rsid w:val="00E45581"/>
    <w:rsid w:val="00E456A7"/>
    <w:rsid w:val="00E4622E"/>
    <w:rsid w:val="00E47A1C"/>
    <w:rsid w:val="00E503CD"/>
    <w:rsid w:val="00E507A2"/>
    <w:rsid w:val="00E51D69"/>
    <w:rsid w:val="00E5249D"/>
    <w:rsid w:val="00E52861"/>
    <w:rsid w:val="00E52B1A"/>
    <w:rsid w:val="00E5372E"/>
    <w:rsid w:val="00E53F09"/>
    <w:rsid w:val="00E55FBA"/>
    <w:rsid w:val="00E563FA"/>
    <w:rsid w:val="00E60042"/>
    <w:rsid w:val="00E60D46"/>
    <w:rsid w:val="00E6176F"/>
    <w:rsid w:val="00E6338E"/>
    <w:rsid w:val="00E63DB1"/>
    <w:rsid w:val="00E63F58"/>
    <w:rsid w:val="00E64AE6"/>
    <w:rsid w:val="00E66A6A"/>
    <w:rsid w:val="00E71F6D"/>
    <w:rsid w:val="00E75B61"/>
    <w:rsid w:val="00E77068"/>
    <w:rsid w:val="00E774DC"/>
    <w:rsid w:val="00E77670"/>
    <w:rsid w:val="00E80D63"/>
    <w:rsid w:val="00E82267"/>
    <w:rsid w:val="00E8271E"/>
    <w:rsid w:val="00E8465F"/>
    <w:rsid w:val="00E85DCE"/>
    <w:rsid w:val="00E86047"/>
    <w:rsid w:val="00E86118"/>
    <w:rsid w:val="00E87DF0"/>
    <w:rsid w:val="00E87F53"/>
    <w:rsid w:val="00E9032E"/>
    <w:rsid w:val="00E90DA1"/>
    <w:rsid w:val="00E91045"/>
    <w:rsid w:val="00E91E0F"/>
    <w:rsid w:val="00E91E93"/>
    <w:rsid w:val="00E92D7D"/>
    <w:rsid w:val="00E93C17"/>
    <w:rsid w:val="00E95530"/>
    <w:rsid w:val="00E95D94"/>
    <w:rsid w:val="00E96429"/>
    <w:rsid w:val="00E96D5B"/>
    <w:rsid w:val="00E97B82"/>
    <w:rsid w:val="00EA0111"/>
    <w:rsid w:val="00EA029A"/>
    <w:rsid w:val="00EA02EA"/>
    <w:rsid w:val="00EA2556"/>
    <w:rsid w:val="00EA2ECD"/>
    <w:rsid w:val="00EA3BD5"/>
    <w:rsid w:val="00EA3E1B"/>
    <w:rsid w:val="00EA517A"/>
    <w:rsid w:val="00EA5304"/>
    <w:rsid w:val="00EA5CF7"/>
    <w:rsid w:val="00EA6C7C"/>
    <w:rsid w:val="00EA7B48"/>
    <w:rsid w:val="00EA7EAF"/>
    <w:rsid w:val="00EB000E"/>
    <w:rsid w:val="00EB0424"/>
    <w:rsid w:val="00EB07AA"/>
    <w:rsid w:val="00EB0C45"/>
    <w:rsid w:val="00EB10DA"/>
    <w:rsid w:val="00EB1AD0"/>
    <w:rsid w:val="00EB227A"/>
    <w:rsid w:val="00EB2CAC"/>
    <w:rsid w:val="00EB54EA"/>
    <w:rsid w:val="00EB591B"/>
    <w:rsid w:val="00EB5C36"/>
    <w:rsid w:val="00EB7DA4"/>
    <w:rsid w:val="00EC155D"/>
    <w:rsid w:val="00EC4965"/>
    <w:rsid w:val="00EC5337"/>
    <w:rsid w:val="00EC59CE"/>
    <w:rsid w:val="00EC5B30"/>
    <w:rsid w:val="00EC734A"/>
    <w:rsid w:val="00ED19AC"/>
    <w:rsid w:val="00ED1CCB"/>
    <w:rsid w:val="00ED23B7"/>
    <w:rsid w:val="00ED2658"/>
    <w:rsid w:val="00ED36E1"/>
    <w:rsid w:val="00ED3C8C"/>
    <w:rsid w:val="00ED4E7A"/>
    <w:rsid w:val="00ED78C8"/>
    <w:rsid w:val="00ED7FB3"/>
    <w:rsid w:val="00EE0688"/>
    <w:rsid w:val="00EE5A11"/>
    <w:rsid w:val="00EE6082"/>
    <w:rsid w:val="00EE793A"/>
    <w:rsid w:val="00EF0616"/>
    <w:rsid w:val="00EF0E17"/>
    <w:rsid w:val="00EF1922"/>
    <w:rsid w:val="00EF1C4C"/>
    <w:rsid w:val="00EF437B"/>
    <w:rsid w:val="00EF4519"/>
    <w:rsid w:val="00EF66F8"/>
    <w:rsid w:val="00EF78D5"/>
    <w:rsid w:val="00EF7E09"/>
    <w:rsid w:val="00F00FCD"/>
    <w:rsid w:val="00F014F7"/>
    <w:rsid w:val="00F01896"/>
    <w:rsid w:val="00F02EA1"/>
    <w:rsid w:val="00F03B51"/>
    <w:rsid w:val="00F040AE"/>
    <w:rsid w:val="00F05287"/>
    <w:rsid w:val="00F068F1"/>
    <w:rsid w:val="00F10D0C"/>
    <w:rsid w:val="00F120FA"/>
    <w:rsid w:val="00F1231F"/>
    <w:rsid w:val="00F1766F"/>
    <w:rsid w:val="00F17BCB"/>
    <w:rsid w:val="00F20418"/>
    <w:rsid w:val="00F211BA"/>
    <w:rsid w:val="00F2198A"/>
    <w:rsid w:val="00F222CD"/>
    <w:rsid w:val="00F22720"/>
    <w:rsid w:val="00F2273D"/>
    <w:rsid w:val="00F23A64"/>
    <w:rsid w:val="00F23A9B"/>
    <w:rsid w:val="00F23FCF"/>
    <w:rsid w:val="00F24662"/>
    <w:rsid w:val="00F2468C"/>
    <w:rsid w:val="00F25214"/>
    <w:rsid w:val="00F27053"/>
    <w:rsid w:val="00F2770F"/>
    <w:rsid w:val="00F27F3D"/>
    <w:rsid w:val="00F3142B"/>
    <w:rsid w:val="00F31702"/>
    <w:rsid w:val="00F321BF"/>
    <w:rsid w:val="00F328AC"/>
    <w:rsid w:val="00F33EA1"/>
    <w:rsid w:val="00F3418B"/>
    <w:rsid w:val="00F35802"/>
    <w:rsid w:val="00F36047"/>
    <w:rsid w:val="00F374EF"/>
    <w:rsid w:val="00F4089C"/>
    <w:rsid w:val="00F410FB"/>
    <w:rsid w:val="00F41EB5"/>
    <w:rsid w:val="00F4314E"/>
    <w:rsid w:val="00F44767"/>
    <w:rsid w:val="00F44C08"/>
    <w:rsid w:val="00F473A6"/>
    <w:rsid w:val="00F505DE"/>
    <w:rsid w:val="00F513B5"/>
    <w:rsid w:val="00F518B0"/>
    <w:rsid w:val="00F51AB9"/>
    <w:rsid w:val="00F52FC0"/>
    <w:rsid w:val="00F530E7"/>
    <w:rsid w:val="00F53970"/>
    <w:rsid w:val="00F53B1D"/>
    <w:rsid w:val="00F550A7"/>
    <w:rsid w:val="00F575C9"/>
    <w:rsid w:val="00F6154B"/>
    <w:rsid w:val="00F61719"/>
    <w:rsid w:val="00F62919"/>
    <w:rsid w:val="00F62E6E"/>
    <w:rsid w:val="00F65D2D"/>
    <w:rsid w:val="00F65F27"/>
    <w:rsid w:val="00F6744C"/>
    <w:rsid w:val="00F70241"/>
    <w:rsid w:val="00F70255"/>
    <w:rsid w:val="00F713B2"/>
    <w:rsid w:val="00F718CC"/>
    <w:rsid w:val="00F72063"/>
    <w:rsid w:val="00F7275C"/>
    <w:rsid w:val="00F731A5"/>
    <w:rsid w:val="00F7375B"/>
    <w:rsid w:val="00F73D16"/>
    <w:rsid w:val="00F74E54"/>
    <w:rsid w:val="00F7597A"/>
    <w:rsid w:val="00F76924"/>
    <w:rsid w:val="00F76FFA"/>
    <w:rsid w:val="00F77613"/>
    <w:rsid w:val="00F81798"/>
    <w:rsid w:val="00F845AE"/>
    <w:rsid w:val="00F848DA"/>
    <w:rsid w:val="00F85438"/>
    <w:rsid w:val="00F90858"/>
    <w:rsid w:val="00F90BB0"/>
    <w:rsid w:val="00F91679"/>
    <w:rsid w:val="00F92625"/>
    <w:rsid w:val="00F95079"/>
    <w:rsid w:val="00F9596F"/>
    <w:rsid w:val="00FA095D"/>
    <w:rsid w:val="00FA40F5"/>
    <w:rsid w:val="00FA48A0"/>
    <w:rsid w:val="00FA5E45"/>
    <w:rsid w:val="00FA64B8"/>
    <w:rsid w:val="00FA68CB"/>
    <w:rsid w:val="00FA6BFE"/>
    <w:rsid w:val="00FB0189"/>
    <w:rsid w:val="00FB05EC"/>
    <w:rsid w:val="00FB06DC"/>
    <w:rsid w:val="00FB0CC9"/>
    <w:rsid w:val="00FB0EF7"/>
    <w:rsid w:val="00FB3613"/>
    <w:rsid w:val="00FB4DF7"/>
    <w:rsid w:val="00FB5301"/>
    <w:rsid w:val="00FB5CEE"/>
    <w:rsid w:val="00FB6349"/>
    <w:rsid w:val="00FB662E"/>
    <w:rsid w:val="00FB692D"/>
    <w:rsid w:val="00FB7D42"/>
    <w:rsid w:val="00FC0C33"/>
    <w:rsid w:val="00FC13CC"/>
    <w:rsid w:val="00FC26D5"/>
    <w:rsid w:val="00FC3582"/>
    <w:rsid w:val="00FC51C7"/>
    <w:rsid w:val="00FC5AC6"/>
    <w:rsid w:val="00FC6818"/>
    <w:rsid w:val="00FC7B80"/>
    <w:rsid w:val="00FD1DC4"/>
    <w:rsid w:val="00FD24B2"/>
    <w:rsid w:val="00FD2823"/>
    <w:rsid w:val="00FD3F6C"/>
    <w:rsid w:val="00FD40DF"/>
    <w:rsid w:val="00FD7B2A"/>
    <w:rsid w:val="00FD7C03"/>
    <w:rsid w:val="00FD7E68"/>
    <w:rsid w:val="00FD7FE8"/>
    <w:rsid w:val="00FE0B34"/>
    <w:rsid w:val="00FE162F"/>
    <w:rsid w:val="00FE2414"/>
    <w:rsid w:val="00FE2C38"/>
    <w:rsid w:val="00FE4BF7"/>
    <w:rsid w:val="00FE51E8"/>
    <w:rsid w:val="00FE55BB"/>
    <w:rsid w:val="00FE7404"/>
    <w:rsid w:val="00FF07C5"/>
    <w:rsid w:val="00FF1FC5"/>
    <w:rsid w:val="00FF248E"/>
    <w:rsid w:val="00FF58A2"/>
    <w:rsid w:val="00FF6157"/>
    <w:rsid w:val="00FF6306"/>
    <w:rsid w:val="059C581A"/>
    <w:rsid w:val="067170F1"/>
    <w:rsid w:val="06E98063"/>
    <w:rsid w:val="0D6D1EFB"/>
    <w:rsid w:val="10A786BA"/>
    <w:rsid w:val="11068684"/>
    <w:rsid w:val="1336CB9C"/>
    <w:rsid w:val="13D02DE9"/>
    <w:rsid w:val="189622DB"/>
    <w:rsid w:val="1D6993FE"/>
    <w:rsid w:val="1D8663D2"/>
    <w:rsid w:val="1ECC9CDF"/>
    <w:rsid w:val="1ED70617"/>
    <w:rsid w:val="1F05645F"/>
    <w:rsid w:val="23271521"/>
    <w:rsid w:val="253844C7"/>
    <w:rsid w:val="3516AC48"/>
    <w:rsid w:val="392E0EDE"/>
    <w:rsid w:val="3C8988B5"/>
    <w:rsid w:val="432F9C91"/>
    <w:rsid w:val="43A9D34D"/>
    <w:rsid w:val="447B723D"/>
    <w:rsid w:val="4A7EA1BF"/>
    <w:rsid w:val="4C47570E"/>
    <w:rsid w:val="4DDCC717"/>
    <w:rsid w:val="4DFE9F41"/>
    <w:rsid w:val="52B0383A"/>
    <w:rsid w:val="52B2FEF6"/>
    <w:rsid w:val="55B8B06B"/>
    <w:rsid w:val="562EF46C"/>
    <w:rsid w:val="578A33EC"/>
    <w:rsid w:val="578D5C50"/>
    <w:rsid w:val="58272DDC"/>
    <w:rsid w:val="653CC6FB"/>
    <w:rsid w:val="675BF975"/>
    <w:rsid w:val="6ABA709B"/>
    <w:rsid w:val="6AD76236"/>
    <w:rsid w:val="6F0E2EE4"/>
    <w:rsid w:val="739DF207"/>
    <w:rsid w:val="76E3B4E7"/>
    <w:rsid w:val="7A22984C"/>
    <w:rsid w:val="7B79DB5B"/>
    <w:rsid w:val="7C54A448"/>
    <w:rsid w:val="7D08F9D4"/>
    <w:rsid w:val="7ECB7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o:shapelayout v:ext="edit">
      <o:idmap v:ext="edit" data="2"/>
    </o:shapelayout>
  </w:shapeDefaults>
  <w:decimalSymbol w:val=","/>
  <w:listSeparator w:val=";"/>
  <w14:docId w14:val="43133276"/>
  <w15:docId w15:val="{1AB7CB20-25E8-46B4-A6CE-9E0AD99A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iPriority="99"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iPriority="99"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Текст"/>
    <w:qFormat/>
    <w:rsid w:val="0091664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E85DCE"/>
    <w:pPr>
      <w:jc w:val="center"/>
      <w:outlineLvl w:val="0"/>
    </w:pPr>
    <w:rPr>
      <w:rFonts w:ascii="StobiSerif Regular" w:hAnsi="StobiSerif Regular" w:cs="Calibri"/>
      <w:b/>
      <w:color w:val="4472C4" w:themeColor="accent1"/>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uiPriority w:val="39"/>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qFormat/>
    <w:rsid w:val="00D95D26"/>
    <w:rPr>
      <w:b/>
      <w:bCs/>
    </w:rPr>
  </w:style>
  <w:style w:type="paragraph" w:styleId="BalloonText">
    <w:name w:val="Balloon Text"/>
    <w:basedOn w:val="Normal"/>
    <w:link w:val="BalloonTextChar"/>
    <w:uiPriority w:val="99"/>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qFormat/>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uiPriority w:val="9"/>
    <w:rsid w:val="00E85DCE"/>
    <w:rPr>
      <w:rFonts w:ascii="StobiSerif Regular" w:hAnsi="StobiSerif Regular" w:cs="Calibri"/>
      <w:b/>
      <w:color w:val="4472C4" w:themeColor="accent1"/>
      <w:sz w:val="24"/>
      <w:szCs w:val="24"/>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Calibri"/>
      <w:b/>
      <w:color w:val="4472C4" w:themeColor="accent1"/>
      <w:sz w:val="24"/>
      <w:szCs w:val="24"/>
      <w:lang w:val="mk-MK"/>
    </w:rPr>
  </w:style>
  <w:style w:type="character" w:customStyle="1" w:styleId="Char1">
    <w:name w:val="Субтекст Char"/>
    <w:basedOn w:val="Char0"/>
    <w:link w:val="a0"/>
    <w:rsid w:val="00BD2475"/>
    <w:rPr>
      <w:rFonts w:ascii="StobiSerif Medium" w:hAnsi="StobiSerif Medium" w:cs="Calibri"/>
      <w:b w:val="0"/>
      <w:color w:val="4472C4" w:themeColor="accent1"/>
      <w:sz w:val="16"/>
      <w:szCs w:val="24"/>
      <w:lang w:val="mk-MK"/>
    </w:rPr>
  </w:style>
  <w:style w:type="paragraph" w:customStyle="1" w:styleId="paragraph">
    <w:name w:val="paragraph"/>
    <w:basedOn w:val="Normal"/>
    <w:rsid w:val="005677A7"/>
    <w:pPr>
      <w:suppressAutoHyphens w:val="0"/>
      <w:spacing w:before="100" w:beforeAutospacing="1" w:after="100" w:afterAutospacing="1"/>
      <w:jc w:val="left"/>
    </w:pPr>
    <w:rPr>
      <w:rFonts w:ascii="Times New Roman" w:hAnsi="Times New Roman"/>
      <w:lang w:eastAsia="mk-MK"/>
    </w:rPr>
  </w:style>
  <w:style w:type="character" w:customStyle="1" w:styleId="eop">
    <w:name w:val="eop"/>
    <w:basedOn w:val="DefaultParagraphFont"/>
    <w:rsid w:val="005677A7"/>
  </w:style>
  <w:style w:type="character" w:customStyle="1" w:styleId="normaltextrun">
    <w:name w:val="normaltextrun"/>
    <w:basedOn w:val="DefaultParagraphFont"/>
    <w:rsid w:val="005677A7"/>
  </w:style>
  <w:style w:type="character" w:customStyle="1" w:styleId="scxw20753642">
    <w:name w:val="scxw20753642"/>
    <w:basedOn w:val="DefaultParagraphFont"/>
    <w:rsid w:val="005677A7"/>
  </w:style>
  <w:style w:type="character" w:styleId="CommentReference">
    <w:name w:val="annotation reference"/>
    <w:basedOn w:val="DefaultParagraphFont"/>
    <w:uiPriority w:val="99"/>
    <w:semiHidden/>
    <w:unhideWhenUsed/>
    <w:rsid w:val="00E90DA1"/>
    <w:rPr>
      <w:sz w:val="16"/>
      <w:szCs w:val="16"/>
    </w:rPr>
  </w:style>
  <w:style w:type="paragraph" w:styleId="CommentText">
    <w:name w:val="annotation text"/>
    <w:basedOn w:val="Normal"/>
    <w:link w:val="CommentTextChar"/>
    <w:uiPriority w:val="99"/>
    <w:unhideWhenUsed/>
    <w:rsid w:val="00E90DA1"/>
    <w:rPr>
      <w:sz w:val="20"/>
      <w:szCs w:val="20"/>
    </w:rPr>
  </w:style>
  <w:style w:type="character" w:customStyle="1" w:styleId="CommentTextChar">
    <w:name w:val="Comment Text Char"/>
    <w:basedOn w:val="DefaultParagraphFont"/>
    <w:link w:val="CommentText"/>
    <w:uiPriority w:val="99"/>
    <w:rsid w:val="00E90DA1"/>
    <w:rPr>
      <w:rFonts w:ascii="StobiSans Regular" w:hAnsi="StobiSans Regular"/>
      <w:lang w:val="mk-MK"/>
    </w:rPr>
  </w:style>
  <w:style w:type="paragraph" w:styleId="CommentSubject">
    <w:name w:val="annotation subject"/>
    <w:basedOn w:val="CommentText"/>
    <w:next w:val="CommentText"/>
    <w:link w:val="CommentSubjectChar"/>
    <w:uiPriority w:val="99"/>
    <w:semiHidden/>
    <w:unhideWhenUsed/>
    <w:rsid w:val="00E90DA1"/>
    <w:rPr>
      <w:b/>
      <w:bCs/>
    </w:rPr>
  </w:style>
  <w:style w:type="character" w:customStyle="1" w:styleId="CommentSubjectChar">
    <w:name w:val="Comment Subject Char"/>
    <w:basedOn w:val="CommentTextChar"/>
    <w:link w:val="CommentSubject"/>
    <w:uiPriority w:val="99"/>
    <w:semiHidden/>
    <w:rsid w:val="00E90DA1"/>
    <w:rPr>
      <w:rFonts w:ascii="StobiSans Regular" w:hAnsi="StobiSans Regular"/>
      <w:b/>
      <w:bCs/>
      <w:lang w:val="mk-MK"/>
    </w:rPr>
  </w:style>
  <w:style w:type="paragraph" w:styleId="TOCHeading">
    <w:name w:val="TOC Heading"/>
    <w:basedOn w:val="Heading1"/>
    <w:next w:val="Normal"/>
    <w:uiPriority w:val="39"/>
    <w:unhideWhenUsed/>
    <w:qFormat/>
    <w:locked/>
    <w:rsid w:val="00F27053"/>
    <w:pPr>
      <w:keepNext/>
      <w:keepLines/>
      <w:suppressAutoHyphens w:val="0"/>
      <w:spacing w:before="480" w:line="276" w:lineRule="auto"/>
      <w:outlineLvl w:val="9"/>
    </w:pPr>
    <w:rPr>
      <w:rFonts w:ascii="Cambria" w:eastAsia="MS Gothic" w:hAnsi="Cambria"/>
      <w:bCs/>
      <w:color w:val="365F91"/>
      <w:lang w:val="en-US" w:eastAsia="ja-JP"/>
    </w:rPr>
  </w:style>
  <w:style w:type="paragraph" w:styleId="TOC1">
    <w:name w:val="toc 1"/>
    <w:basedOn w:val="Normal"/>
    <w:next w:val="Normal"/>
    <w:autoRedefine/>
    <w:uiPriority w:val="39"/>
    <w:unhideWhenUsed/>
    <w:locked/>
    <w:rsid w:val="00426EFF"/>
    <w:pPr>
      <w:tabs>
        <w:tab w:val="left" w:pos="440"/>
        <w:tab w:val="right" w:leader="dot" w:pos="9016"/>
      </w:tabs>
      <w:spacing w:after="100"/>
    </w:pPr>
    <w:rPr>
      <w:rFonts w:ascii="StobiSerif Regular" w:hAnsi="StobiSerif Regular" w:cs="Calibri"/>
      <w:b/>
      <w:bCs/>
      <w:iCs/>
      <w:noProof/>
    </w:rPr>
  </w:style>
  <w:style w:type="paragraph" w:styleId="TOC2">
    <w:name w:val="toc 2"/>
    <w:basedOn w:val="Normal"/>
    <w:next w:val="Normal"/>
    <w:autoRedefine/>
    <w:uiPriority w:val="39"/>
    <w:unhideWhenUsed/>
    <w:locked/>
    <w:rsid w:val="00A2219E"/>
    <w:pPr>
      <w:spacing w:after="100"/>
      <w:ind w:left="240"/>
    </w:pPr>
  </w:style>
  <w:style w:type="paragraph" w:styleId="FootnoteText">
    <w:name w:val="footnote text"/>
    <w:basedOn w:val="Normal"/>
    <w:link w:val="FootnoteTextChar"/>
    <w:uiPriority w:val="99"/>
    <w:unhideWhenUsed/>
    <w:locked/>
    <w:rsid w:val="00676581"/>
    <w:pPr>
      <w:suppressAutoHyphens w:val="0"/>
      <w:jc w:val="left"/>
    </w:pPr>
    <w:rPr>
      <w:rFonts w:ascii="Cambria" w:eastAsia="MS Mincho" w:hAnsi="Cambria"/>
    </w:rPr>
  </w:style>
  <w:style w:type="character" w:customStyle="1" w:styleId="FootnoteTextChar">
    <w:name w:val="Footnote Text Char"/>
    <w:basedOn w:val="DefaultParagraphFont"/>
    <w:link w:val="FootnoteText"/>
    <w:uiPriority w:val="99"/>
    <w:rsid w:val="00676581"/>
    <w:rPr>
      <w:rFonts w:ascii="Cambria" w:eastAsia="MS Mincho" w:hAnsi="Cambria"/>
      <w:sz w:val="24"/>
      <w:szCs w:val="24"/>
    </w:rPr>
  </w:style>
  <w:style w:type="character" w:styleId="FootnoteReference">
    <w:name w:val="footnote reference"/>
    <w:uiPriority w:val="99"/>
    <w:unhideWhenUsed/>
    <w:locked/>
    <w:rsid w:val="00676581"/>
    <w:rPr>
      <w:vertAlign w:val="superscript"/>
    </w:rPr>
  </w:style>
  <w:style w:type="character" w:customStyle="1" w:styleId="UnresolvedMention2">
    <w:name w:val="Unresolved Mention2"/>
    <w:basedOn w:val="DefaultParagraphFont"/>
    <w:uiPriority w:val="99"/>
    <w:semiHidden/>
    <w:unhideWhenUsed/>
    <w:rsid w:val="007F25CF"/>
    <w:rPr>
      <w:color w:val="605E5C"/>
      <w:shd w:val="clear" w:color="auto" w:fill="E1DFDD"/>
    </w:rPr>
  </w:style>
  <w:style w:type="paragraph" w:styleId="NoSpacing">
    <w:name w:val="No Spacing"/>
    <w:basedOn w:val="Normal"/>
    <w:uiPriority w:val="1"/>
    <w:qFormat/>
    <w:locked/>
    <w:rsid w:val="00284DC9"/>
    <w:pPr>
      <w:suppressAutoHyphens w:val="0"/>
      <w:jc w:val="left"/>
    </w:pPr>
    <w:rPr>
      <w:rFonts w:ascii="Times New Roman" w:eastAsiaTheme="minorHAnsi" w:hAnsi="Times New Roman"/>
      <w:lang w:eastAsia="mk-MK"/>
    </w:rPr>
  </w:style>
  <w:style w:type="paragraph" w:customStyle="1" w:styleId="xmsonormal">
    <w:name w:val="x_msonormal"/>
    <w:basedOn w:val="Normal"/>
    <w:uiPriority w:val="99"/>
    <w:rsid w:val="00BB5EA2"/>
    <w:pPr>
      <w:suppressAutoHyphens w:val="0"/>
      <w:jc w:val="left"/>
    </w:pPr>
    <w:rPr>
      <w:rFonts w:ascii="Times New Roman" w:eastAsiaTheme="minorHAnsi" w:hAnsi="Times New Roman"/>
      <w:lang w:eastAsia="mk-MK"/>
    </w:rPr>
  </w:style>
  <w:style w:type="character" w:customStyle="1" w:styleId="gi">
    <w:name w:val="gi"/>
    <w:basedOn w:val="DefaultParagraphFont"/>
    <w:rsid w:val="00C74274"/>
  </w:style>
  <w:style w:type="character" w:customStyle="1" w:styleId="BalloonTextChar">
    <w:name w:val="Balloon Text Char"/>
    <w:basedOn w:val="DefaultParagraphFont"/>
    <w:link w:val="BalloonText"/>
    <w:uiPriority w:val="99"/>
    <w:semiHidden/>
    <w:rsid w:val="002D497F"/>
    <w:rPr>
      <w:rFonts w:ascii="Tahoma" w:hAnsi="Tahoma" w:cs="Tahoma"/>
      <w:sz w:val="16"/>
      <w:szCs w:val="16"/>
      <w:lang w:val="mk-MK"/>
    </w:rPr>
  </w:style>
  <w:style w:type="character" w:customStyle="1" w:styleId="HeaderChar">
    <w:name w:val="Header Char"/>
    <w:basedOn w:val="DefaultParagraphFont"/>
    <w:link w:val="Header"/>
    <w:uiPriority w:val="99"/>
    <w:rsid w:val="002D497F"/>
    <w:rPr>
      <w:rFonts w:ascii="StobiSans Regular" w:hAnsi="StobiSans Regular"/>
      <w:sz w:val="24"/>
      <w:szCs w:val="24"/>
      <w:lang w:val="mk-MK"/>
    </w:rPr>
  </w:style>
  <w:style w:type="character" w:customStyle="1" w:styleId="scxw84249839">
    <w:name w:val="scxw84249839"/>
    <w:basedOn w:val="DefaultParagraphFont"/>
    <w:rsid w:val="00857D9B"/>
  </w:style>
  <w:style w:type="paragraph" w:styleId="TOC3">
    <w:name w:val="toc 3"/>
    <w:basedOn w:val="Normal"/>
    <w:next w:val="Normal"/>
    <w:autoRedefine/>
    <w:uiPriority w:val="39"/>
    <w:unhideWhenUsed/>
    <w:locked/>
    <w:rsid w:val="00DE0701"/>
    <w:pPr>
      <w:suppressAutoHyphens w:val="0"/>
      <w:spacing w:after="100" w:line="259" w:lineRule="auto"/>
      <w:ind w:left="440"/>
      <w:jc w:val="left"/>
    </w:pPr>
    <w:rPr>
      <w:rFonts w:asciiTheme="minorHAnsi" w:eastAsiaTheme="minorEastAsia" w:hAnsiTheme="minorHAnsi"/>
      <w:sz w:val="22"/>
      <w:szCs w:val="22"/>
      <w:lang w:val="en-US" w:eastAsia="en-US"/>
    </w:rPr>
  </w:style>
  <w:style w:type="paragraph" w:styleId="EndnoteText">
    <w:name w:val="endnote text"/>
    <w:basedOn w:val="Normal"/>
    <w:link w:val="EndnoteTextChar"/>
    <w:semiHidden/>
    <w:unhideWhenUsed/>
    <w:locked/>
    <w:rsid w:val="00F6154B"/>
    <w:rPr>
      <w:sz w:val="20"/>
      <w:szCs w:val="20"/>
    </w:rPr>
  </w:style>
  <w:style w:type="character" w:customStyle="1" w:styleId="EndnoteTextChar">
    <w:name w:val="Endnote Text Char"/>
    <w:basedOn w:val="DefaultParagraphFont"/>
    <w:link w:val="EndnoteText"/>
    <w:semiHidden/>
    <w:rsid w:val="00F6154B"/>
    <w:rPr>
      <w:rFonts w:ascii="StobiSans Regular" w:hAnsi="StobiSans Regular"/>
      <w:lang w:val="mk-MK"/>
    </w:rPr>
  </w:style>
  <w:style w:type="character" w:styleId="EndnoteReference">
    <w:name w:val="endnote reference"/>
    <w:basedOn w:val="DefaultParagraphFont"/>
    <w:semiHidden/>
    <w:unhideWhenUsed/>
    <w:locked/>
    <w:rsid w:val="00F6154B"/>
    <w:rPr>
      <w:vertAlign w:val="superscript"/>
    </w:rPr>
  </w:style>
  <w:style w:type="character" w:customStyle="1" w:styleId="UnresolvedMention3">
    <w:name w:val="Unresolved Mention3"/>
    <w:basedOn w:val="DefaultParagraphFont"/>
    <w:uiPriority w:val="99"/>
    <w:semiHidden/>
    <w:unhideWhenUsed/>
    <w:rsid w:val="0007457C"/>
    <w:rPr>
      <w:color w:val="605E5C"/>
      <w:shd w:val="clear" w:color="auto" w:fill="E1DFDD"/>
    </w:rPr>
  </w:style>
  <w:style w:type="character" w:customStyle="1" w:styleId="UnresolvedMention4">
    <w:name w:val="Unresolved Mention4"/>
    <w:basedOn w:val="DefaultParagraphFont"/>
    <w:uiPriority w:val="99"/>
    <w:semiHidden/>
    <w:unhideWhenUsed/>
    <w:rsid w:val="00572CE4"/>
    <w:rPr>
      <w:color w:val="605E5C"/>
      <w:shd w:val="clear" w:color="auto" w:fill="E1DFDD"/>
    </w:rPr>
  </w:style>
  <w:style w:type="paragraph" w:styleId="Revision">
    <w:name w:val="Revision"/>
    <w:hidden/>
    <w:uiPriority w:val="99"/>
    <w:semiHidden/>
    <w:rsid w:val="00537500"/>
    <w:rPr>
      <w:rFonts w:ascii="StobiSans Regular" w:hAnsi="StobiSans Regular"/>
      <w:sz w:val="24"/>
      <w:szCs w:val="24"/>
      <w:lang w:val="mk-MK"/>
    </w:rPr>
  </w:style>
  <w:style w:type="character" w:styleId="UnresolvedMention">
    <w:name w:val="Unresolved Mention"/>
    <w:basedOn w:val="DefaultParagraphFont"/>
    <w:rsid w:val="00950AF0"/>
    <w:rPr>
      <w:color w:val="605E5C"/>
      <w:shd w:val="clear" w:color="auto" w:fill="E1DFDD"/>
    </w:rPr>
  </w:style>
  <w:style w:type="paragraph" w:styleId="BodyText">
    <w:name w:val="Body Text"/>
    <w:basedOn w:val="Normal"/>
    <w:link w:val="BodyTextChar"/>
    <w:locked/>
    <w:rsid w:val="003D6056"/>
    <w:pPr>
      <w:spacing w:after="115"/>
      <w:jc w:val="left"/>
    </w:pPr>
    <w:rPr>
      <w:lang w:bidi="hi-IN"/>
    </w:rPr>
  </w:style>
  <w:style w:type="character" w:customStyle="1" w:styleId="BodyTextChar">
    <w:name w:val="Body Text Char"/>
    <w:basedOn w:val="DefaultParagraphFont"/>
    <w:link w:val="BodyText"/>
    <w:rsid w:val="003D6056"/>
    <w:rPr>
      <w:rFonts w:ascii="StobiSans Regular" w:hAnsi="StobiSans Regular"/>
      <w:sz w:val="24"/>
      <w:szCs w:val="24"/>
      <w:lang w:val="mk-MK" w:bidi="hi-IN"/>
    </w:rPr>
  </w:style>
  <w:style w:type="character" w:customStyle="1" w:styleId="EndnoteCharacters">
    <w:name w:val="Endnote Characters"/>
    <w:rsid w:val="00A52A9A"/>
  </w:style>
  <w:style w:type="character" w:customStyle="1" w:styleId="FootnoteCharacters">
    <w:name w:val="Footnote Characters"/>
    <w:rsid w:val="00A52A9A"/>
  </w:style>
  <w:style w:type="character" w:customStyle="1" w:styleId="Bullets">
    <w:name w:val="Bullets"/>
    <w:rsid w:val="00A52A9A"/>
    <w:rPr>
      <w:rFonts w:ascii="OpenSymbol" w:eastAsia="OpenSymbol" w:hAnsi="OpenSymbol" w:cs="OpenSymbol"/>
    </w:rPr>
  </w:style>
  <w:style w:type="character" w:customStyle="1" w:styleId="NumberingSymbols">
    <w:name w:val="Numbering Symbols"/>
    <w:rsid w:val="00A52A9A"/>
  </w:style>
  <w:style w:type="paragraph" w:customStyle="1" w:styleId="HorizontalLine">
    <w:name w:val="Horizontal Line"/>
    <w:basedOn w:val="Normal"/>
    <w:next w:val="BodyText"/>
    <w:rsid w:val="00A52A9A"/>
    <w:pPr>
      <w:widowControl w:val="0"/>
      <w:pBdr>
        <w:top w:val="none" w:sz="0" w:space="0" w:color="000000"/>
        <w:left w:val="none" w:sz="0" w:space="0" w:color="000000"/>
        <w:bottom w:val="double" w:sz="3" w:space="0" w:color="808080"/>
        <w:right w:val="none" w:sz="0" w:space="0" w:color="000000"/>
      </w:pBdr>
      <w:spacing w:after="283"/>
      <w:jc w:val="left"/>
    </w:pPr>
    <w:rPr>
      <w:rFonts w:ascii="DejaVu Serif" w:eastAsia="DejaVu Sans" w:hAnsi="DejaVu Serif" w:cs="DejaVu Sans"/>
      <w:sz w:val="12"/>
      <w:lang w:val="en-US" w:eastAsia="zh-CN" w:bidi="hi-IN"/>
    </w:rPr>
  </w:style>
  <w:style w:type="paragraph" w:styleId="EnvelopeReturn">
    <w:name w:val="envelope return"/>
    <w:basedOn w:val="Normal"/>
    <w:locked/>
    <w:rsid w:val="00A52A9A"/>
    <w:pPr>
      <w:widowControl w:val="0"/>
      <w:jc w:val="left"/>
    </w:pPr>
    <w:rPr>
      <w:rFonts w:ascii="DejaVu Serif" w:eastAsia="DejaVu Sans" w:hAnsi="DejaVu Serif" w:cs="DejaVu Sans"/>
      <w:i/>
      <w:lang w:val="en-US" w:eastAsia="zh-CN" w:bidi="hi-IN"/>
    </w:rPr>
  </w:style>
  <w:style w:type="paragraph" w:customStyle="1" w:styleId="TableContents">
    <w:name w:val="Table Contents"/>
    <w:basedOn w:val="BodyText"/>
    <w:rsid w:val="00A52A9A"/>
    <w:rPr>
      <w:rFonts w:ascii="StobiSerif Regular" w:eastAsia="StobiSerif Regular" w:hAnsi="StobiSerif Regular" w:cs="StobiSerif Regular"/>
    </w:rPr>
  </w:style>
  <w:style w:type="paragraph" w:customStyle="1" w:styleId="HeaderandFooter">
    <w:name w:val="Header and Footer"/>
    <w:basedOn w:val="Normal"/>
    <w:rsid w:val="00A52A9A"/>
    <w:pPr>
      <w:widowControl w:val="0"/>
      <w:suppressLineNumbers/>
      <w:tabs>
        <w:tab w:val="center" w:pos="4819"/>
        <w:tab w:val="right" w:pos="9638"/>
      </w:tabs>
      <w:jc w:val="left"/>
    </w:pPr>
    <w:rPr>
      <w:rFonts w:ascii="DejaVu Serif" w:eastAsia="DejaVu Sans" w:hAnsi="DejaVu Serif" w:cs="DejaVu Sans"/>
      <w:lang w:val="en-US" w:eastAsia="zh-CN" w:bidi="hi-IN"/>
    </w:rPr>
  </w:style>
  <w:style w:type="paragraph" w:customStyle="1" w:styleId="Index">
    <w:name w:val="Index"/>
    <w:basedOn w:val="Normal"/>
    <w:rsid w:val="00A52A9A"/>
    <w:pPr>
      <w:widowControl w:val="0"/>
      <w:suppressLineNumbers/>
      <w:jc w:val="left"/>
    </w:pPr>
    <w:rPr>
      <w:rFonts w:ascii="DejaVu Serif" w:eastAsia="DejaVu Sans" w:hAnsi="DejaVu Serif" w:cs="DejaVu Sans"/>
      <w:lang w:val="en-US" w:eastAsia="zh-CN" w:bidi="hi-IN"/>
    </w:rPr>
  </w:style>
  <w:style w:type="paragraph" w:styleId="Caption">
    <w:name w:val="caption"/>
    <w:basedOn w:val="Normal"/>
    <w:qFormat/>
    <w:locked/>
    <w:rsid w:val="00A52A9A"/>
    <w:pPr>
      <w:widowControl w:val="0"/>
      <w:suppressLineNumbers/>
      <w:spacing w:before="120" w:after="120"/>
      <w:jc w:val="left"/>
    </w:pPr>
    <w:rPr>
      <w:rFonts w:ascii="DejaVu Serif" w:eastAsia="DejaVu Sans" w:hAnsi="DejaVu Serif" w:cs="DejaVu Sans"/>
      <w:i/>
      <w:iCs/>
      <w:lang w:val="en-US" w:eastAsia="zh-CN" w:bidi="hi-IN"/>
    </w:rPr>
  </w:style>
  <w:style w:type="paragraph" w:styleId="List">
    <w:name w:val="List"/>
    <w:basedOn w:val="BodyText"/>
    <w:rsid w:val="00A52A9A"/>
    <w:rPr>
      <w:rFonts w:ascii="StobiSerif Regular" w:eastAsia="StobiSerif Regular" w:hAnsi="StobiSerif Regular" w:cs="StobiSerif Regular"/>
    </w:rPr>
  </w:style>
  <w:style w:type="paragraph" w:customStyle="1" w:styleId="Heading">
    <w:name w:val="Heading"/>
    <w:basedOn w:val="Normal"/>
    <w:next w:val="BodyText"/>
    <w:rsid w:val="00A52A9A"/>
    <w:pPr>
      <w:keepNext/>
      <w:widowControl w:val="0"/>
      <w:spacing w:before="240" w:after="283"/>
      <w:jc w:val="left"/>
    </w:pPr>
    <w:rPr>
      <w:rFonts w:ascii="Liberation Sans" w:eastAsia="DejaVu Sans" w:hAnsi="Liberation Sans" w:cs="DejaVu Sans"/>
      <w:sz w:val="28"/>
      <w:szCs w:val="28"/>
      <w:lang w:val="en-US" w:eastAsia="zh-CN" w:bidi="hi-IN"/>
    </w:rPr>
  </w:style>
  <w:style w:type="paragraph" w:customStyle="1" w:styleId="TableHeading">
    <w:name w:val="Table Heading"/>
    <w:basedOn w:val="TableContents"/>
    <w:rsid w:val="00A52A9A"/>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www.ovp.gov.mk" TargetMode="External"/><Relationship Id="rId26" Type="http://schemas.openxmlformats.org/officeDocument/2006/relationships/hyperlink" Target="https://metamorphosis.org.mk/aktivnosti_arhiva/otvoreni-podatoci-i-otvoreni-opshtini-vizuelizacija-na-podatoci-od-prviot-ciklus-na-poddrshka-na-el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ioa.gov.mk/?q=mk/node/4129"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hyperlink" Target="https://metamorphosis.org.mk/izdanija_arhiva/indeks-na-otvorenost-na-lokalnata-samouprava-za-2022-godina/" TargetMode="External"/><Relationship Id="rId33" Type="http://schemas.openxmlformats.org/officeDocument/2006/relationships/hyperlink" Target="https://www.mtsp.gov.mk/pocetna-ns_article-trencevska-samo-obedineti-moze-da-postigneme-podobri-rezultati-vo-prevencijata-i-zashtitata-od-nasil.n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mioa.gov.mk/?q=mk/node/3909" TargetMode="External"/><Relationship Id="rId29" Type="http://schemas.openxmlformats.org/officeDocument/2006/relationships/hyperlink" Target="https://www.e-nabavki.gov.mk/PublicAccess/home.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vp.gov.mk/dokumenti/" TargetMode="External"/><Relationship Id="rId24" Type="http://schemas.openxmlformats.org/officeDocument/2006/relationships/hyperlink" Target="https://metamorphosis.org.mk/aktivnosti_arhiva/indeks-na-otvorenost-na-lokalnata-samouprava-2021-godina/" TargetMode="External"/><Relationship Id="rId32" Type="http://schemas.openxmlformats.org/officeDocument/2006/relationships/hyperlink" Target="https://www.data.gov.mk/dataset/https-mvr-gov-mk" TargetMode="External"/><Relationship Id="rId37" Type="http://schemas.openxmlformats.org/officeDocument/2006/relationships/header" Target="header3.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www.ovp.gov.mk" TargetMode="External"/><Relationship Id="rId28" Type="http://schemas.openxmlformats.org/officeDocument/2006/relationships/hyperlink" Target="https://data.gov.mk/organization/" TargetMode="External"/><Relationship Id="rId36" Type="http://schemas.openxmlformats.org/officeDocument/2006/relationships/footer" Target="footer1.xml"/><Relationship Id="rId10" Type="http://schemas.openxmlformats.org/officeDocument/2006/relationships/hyperlink" Target="https://ovp.gov.mk/%d0%bd%d0%b0%d1%86%d0%b8%d0%be%d0%bd%d0%b0%d0%bb%d0%b5%d0%bd-%d0%b0%d0%ba%d1%86%d0%b8%d1%81%d0%ba%d0%b8-%d0%bf%d0%bb%d0%b0%d0%bd-%d0%b7%d0%b0-%d0%be%d0%b2%d0%bf/" TargetMode="External"/><Relationship Id="rId19" Type="http://schemas.openxmlformats.org/officeDocument/2006/relationships/hyperlink" Target="https://www.mioa.gov.mk/?q=mk/node/3845" TargetMode="External"/><Relationship Id="rId31" Type="http://schemas.openxmlformats.org/officeDocument/2006/relationships/hyperlink" Target="https://lastrada.org.m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yperlink" Target="https://www.mioa.gov.mk/?q=mk/node/4331" TargetMode="External"/><Relationship Id="rId27" Type="http://schemas.openxmlformats.org/officeDocument/2006/relationships/hyperlink" Target="https://metamorphosis.org.mk/aktivnosti_arhiva/zavrshi-vtoriot-ciklus-na-poddrshka-na-els-za-otvoreni-podatoci-i-transparentnost/" TargetMode="External"/><Relationship Id="rId30" Type="http://schemas.openxmlformats.org/officeDocument/2006/relationships/hyperlink" Target="https://www.e-nabavki.gov.mk/PublicAccess/home.aspx"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diagrams/colors1.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rgbClr val="FFFFFF">
        <a:alpha val="90000"/>
      </a:srgbClr>
    </dgm:fillClrLst>
    <dgm:linClrLst>
      <a:srgbClr val="4472C4"/>
      <a:srgbClr val="70AD47"/>
    </dgm:linClrLst>
    <dgm:effectClrLst/>
    <dgm:txLinClrLst/>
    <dgm:txFillClrLst meth="repeat">
      <a:srgbClr val="000000"/>
    </dgm:txFillClrLst>
    <dgm:txEffectClrLst/>
  </dgm:styleLbl>
  <dgm:styleLbl name="alignAccFollowNode1">
    <dgm:fillClrLst>
      <a:srgbClr val="CFD5EA">
        <a:tint val="40000"/>
        <a:alpha val="90000"/>
      </a:srgbClr>
      <a:srgbClr val="D5E3CF">
        <a:tint val="40000"/>
        <a:alpha val="90000"/>
      </a:srgbClr>
    </dgm:fillClrLst>
    <dgm:linClrLst>
      <a:srgbClr val="CFD5EA">
        <a:tint val="40000"/>
        <a:alpha val="90000"/>
      </a:srgbClr>
      <a:srgbClr val="D5E3CF">
        <a:tint val="40000"/>
        <a:alpha val="90000"/>
      </a:srgbClr>
    </dgm:linClrLst>
    <dgm:effectClrLst/>
    <dgm:txLinClrLst/>
    <dgm:txFillClrLst meth="repeat">
      <a:srgbClr val="000000"/>
    </dgm:txFillClrLst>
    <dgm:txEffectClrLst/>
  </dgm:styleLbl>
  <dgm:styleLbl name="alignImgPlace1">
    <dgm:fillClrLst>
      <a:srgbClr val="C0C9E4">
        <a:tint val="50000"/>
      </a:srgbClr>
      <a:srgbClr val="EBF1E9">
        <a:tint val="20000"/>
      </a:srgbClr>
    </dgm:fillClrLst>
    <dgm:linClrLst meth="repeat">
      <a:srgbClr val="FFFFFF"/>
    </dgm:linClrLst>
    <dgm:effectClrLst/>
    <dgm:txLinClrLst/>
    <dgm:txFillClrLst meth="repeat">
      <a:srgbClr val="FFFFFF"/>
    </dgm:txFillClrLst>
    <dgm:txEffectClrLst/>
  </dgm:styleLbl>
  <dgm:styleLbl name="alignNode1">
    <dgm:fillClrLst>
      <a:srgbClr val="4472C4"/>
      <a:srgbClr val="70AD47"/>
    </dgm:fillClrLst>
    <dgm:linClrLst>
      <a:srgbClr val="4472C4"/>
      <a:srgbClr val="70AD47"/>
    </dgm:linClrLst>
    <dgm:effectClrLst/>
    <dgm:txLinClrLst/>
    <dgm:txFillClrLst/>
    <dgm:txEffectClrLst/>
  </dgm:styleLbl>
  <dgm:styleLbl name="asst0">
    <dgm:fillClrLst meth="repeat">
      <a:srgbClr val="4472C4"/>
    </dgm:fillClrLst>
    <dgm:linClrLst meth="repeat">
      <a:srgbClr val="E7E7E7">
        <a:shade val="80000"/>
      </a:srgbClr>
    </dgm:linClrLst>
    <dgm:effectClrLst/>
    <dgm:txLinClrLst/>
    <dgm:txFillClrLst/>
    <dgm:txEffectClrLst/>
  </dgm:styleLbl>
  <dgm:styleLbl name="asst1">
    <dgm:fillClrLst meth="repeat">
      <a:srgbClr val="70AD47"/>
    </dgm:fillClrLst>
    <dgm:linClrLst meth="repeat">
      <a:srgbClr val="E7E7E7">
        <a:shade val="80000"/>
      </a:srgbClr>
    </dgm:linClrLst>
    <dgm:effectClrLst/>
    <dgm:txLinClrLst/>
    <dgm:txFillClrLst/>
    <dgm:txEffectClrLst/>
  </dgm:styleLbl>
  <dgm:styleLbl name="asst2">
    <dgm:fillClrLst>
      <a:srgbClr val="5B9BD5"/>
    </dgm:fillClrLst>
    <dgm:linClrLst meth="repeat">
      <a:srgbClr val="FFFFFF"/>
    </dgm:linClrLst>
    <dgm:effectClrLst/>
    <dgm:txLinClrLst/>
    <dgm:txFillClrLst/>
    <dgm:txEffectClrLst/>
  </dgm:styleLbl>
  <dgm:styleLbl name="asst3">
    <dgm:fillClrLst>
      <a:srgbClr val="ED7D31"/>
    </dgm:fillClrLst>
    <dgm:linClrLst meth="repeat">
      <a:srgbClr val="FFFFFF"/>
    </dgm:linClrLst>
    <dgm:effectClrLst/>
    <dgm:txLinClrLst/>
    <dgm:txFillClrLst/>
    <dgm:txEffectClrLst/>
  </dgm:styleLbl>
  <dgm:styleLbl name="asst4">
    <dgm:fillClrLst>
      <a:srgbClr val="A5A5A5"/>
    </dgm:fillClrLst>
    <dgm:linClrLst meth="repeat">
      <a:srgbClr val="FFFFFF"/>
    </dgm:linClrLst>
    <dgm:effectClrLst/>
    <dgm:txLinClrLst/>
    <dgm:txFillClrLst/>
    <dgm:txEffectClrLst/>
  </dgm:styleLbl>
  <dgm:styleLbl name="bgAcc1">
    <dgm:fillClrLst meth="repeat">
      <a:srgbClr val="FFFFFF">
        <a:alpha val="90000"/>
      </a:srgbClr>
    </dgm:fillClrLst>
    <dgm:linClrLst>
      <a:srgbClr val="4472C4"/>
      <a:srgbClr val="70AD47"/>
    </dgm:linClrLst>
    <dgm:effectClrLst/>
    <dgm:txLinClrLst/>
    <dgm:txFillClrLst meth="repeat">
      <a:srgbClr val="000000"/>
    </dgm:txFillClrLst>
    <dgm:txEffectClrLst/>
  </dgm:styleLbl>
  <dgm:styleLbl name="bgAccFollowNode1">
    <dgm:fillClrLst>
      <a:srgbClr val="CFD5EA">
        <a:tint val="40000"/>
        <a:alpha val="90000"/>
      </a:srgbClr>
      <a:srgbClr val="D5E3CF">
        <a:tint val="40000"/>
        <a:alpha val="90000"/>
      </a:srgbClr>
    </dgm:fillClrLst>
    <dgm:linClrLst>
      <a:srgbClr val="CFD5EA">
        <a:tint val="40000"/>
        <a:alpha val="90000"/>
      </a:srgbClr>
      <a:srgbClr val="D5E3CF">
        <a:tint val="40000"/>
        <a:alpha val="90000"/>
      </a:srgbClr>
    </dgm:linClrLst>
    <dgm:effectClrLst/>
    <dgm:txLinClrLst/>
    <dgm:txFillClrLst meth="repeat">
      <a:srgbClr val="000000"/>
    </dgm:txFillClrLst>
    <dgm:txEffectClrLst/>
  </dgm:styleLbl>
  <dgm:styleLbl name="bgImgPlace1">
    <dgm:fillClrLst>
      <a:srgbClr val="C0C9E4">
        <a:tint val="50000"/>
      </a:srgbClr>
      <a:srgbClr val="EBF1E9">
        <a:tint val="20000"/>
      </a:srgbClr>
    </dgm:fillClrLst>
    <dgm:linClrLst meth="repeat">
      <a:srgbClr val="FFFFFF"/>
    </dgm:linClrLst>
    <dgm:effectClrLst/>
    <dgm:txLinClrLst/>
    <dgm:txFillClrLst meth="repeat">
      <a:srgbClr val="FFFFFF"/>
    </dgm:txFillClrLst>
    <dgm:txEffectClrLst/>
  </dgm:styleLbl>
  <dgm:styleLbl name="bgShp">
    <dgm:fillClrLst meth="repeat">
      <a:srgbClr val="CFD5EA">
        <a:tint val="40000"/>
      </a:srgbClr>
    </dgm:fillClrLst>
    <dgm:linClrLst meth="repeat">
      <a:srgbClr val="000000"/>
    </dgm:linClrLst>
    <dgm:effectClrLst/>
    <dgm:txLinClrLst/>
    <dgm:txFillClrLst meth="repeat">
      <a:srgbClr val="000000"/>
    </dgm:txFillClrLst>
    <dgm:txEffectClrLst/>
  </dgm:styleLbl>
  <dgm:styleLbl name="bgSibTrans2D1">
    <dgm:fillClrLst>
      <a:srgbClr val="4472C4"/>
      <a:srgbClr val="70AD47"/>
    </dgm:fillClrLst>
    <dgm:linClrLst meth="repeat">
      <a:srgbClr val="FFFFFF"/>
    </dgm:linClrLst>
    <dgm:effectClrLst/>
    <dgm:txLinClrLst/>
    <dgm:txFillClrLst meth="repeat">
      <a:srgbClr val="FFFFFF"/>
    </dgm:txFillClrLst>
    <dgm:txEffectClrLst/>
  </dgm:styleLbl>
  <dgm:styleLbl name="callout">
    <dgm:fillClrLst meth="repeat">
      <a:srgbClr val="4472C4"/>
    </dgm:fillClrLst>
    <dgm:linClrLst meth="repeat">
      <a:srgbClr val="C0C9E4">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a:srgbClr val="4472C4"/>
      <a:srgbClr val="70AD47"/>
    </dgm:linClrLst>
    <dgm:effectClrLst/>
    <dgm:txLinClrLst/>
    <dgm:txFillClrLst meth="repeat">
      <a:srgbClr val="000000"/>
    </dgm:txFillClrLst>
    <dgm:txEffectClrLst/>
  </dgm:styleLbl>
  <dgm:styleLbl name="dkBgShp">
    <dgm:fillClrLst meth="repeat">
      <a:srgbClr val="406DBB">
        <a:shade val="90000"/>
      </a:srgbClr>
    </dgm:fillClrLst>
    <dgm:linClrLst meth="repeat">
      <a:srgbClr val="000000"/>
    </dgm:linClrLst>
    <dgm:effectClrLst/>
    <dgm:txLinClrLst/>
    <dgm:txFillClrLst meth="repeat">
      <a:srgbClr val="FFFFFF"/>
    </dgm:txFillClrLst>
    <dgm:txEffectClrLst/>
  </dgm:styleLbl>
  <dgm:styleLbl name="fgAcc0">
    <dgm:fillClrLst meth="repeat">
      <a:srgbClr val="FFFFFF">
        <a:alpha val="90000"/>
      </a:srgbClr>
    </dgm:fillClrLst>
    <dgm:linClrLst>
      <a:srgbClr val="FFC000"/>
    </dgm:linClrLst>
    <dgm:effectClrLst/>
    <dgm:txLinClrLst/>
    <dgm:txFillClrLst meth="repeat">
      <a:srgbClr val="000000"/>
    </dgm:txFillClrLst>
    <dgm:txEffectClrLst/>
  </dgm:styleLbl>
  <dgm:styleLbl name="fgAcc1">
    <dgm:fillClrLst meth="repeat">
      <a:srgbClr val="FFFFFF">
        <a:alpha val="90000"/>
      </a:srgbClr>
    </dgm:fillClrLst>
    <dgm:linClrLst>
      <a:srgbClr val="4472C4"/>
      <a:srgbClr val="70AD47"/>
    </dgm:linClrLst>
    <dgm:effectClrLst/>
    <dgm:txLinClrLst/>
    <dgm:txFillClrLst meth="repeat">
      <a:srgbClr val="000000"/>
    </dgm:txFillClrLst>
    <dgm:txEffectClrLst/>
  </dgm:styleLbl>
  <dgm:styleLbl name="fgAcc2">
    <dgm:fillClrLst meth="repeat">
      <a:srgbClr val="FFFFFF">
        <a:alpha val="90000"/>
      </a:srgbClr>
    </dgm:fillClrLst>
    <dgm:linClrLst>
      <a:srgbClr val="70AD47"/>
    </dgm:linClrLst>
    <dgm:effectClrLst/>
    <dgm:txLinClrLst/>
    <dgm:txFillClrLst meth="repeat">
      <a:srgbClr val="000000"/>
    </dgm:txFillClrLst>
    <dgm:txEffectClrLst/>
  </dgm:styleLbl>
  <dgm:styleLbl name="fgAcc3">
    <dgm:fillClrLst meth="repeat">
      <a:srgbClr val="FFFFFF">
        <a:alpha val="90000"/>
      </a:srgbClr>
    </dgm:fillClrLst>
    <dgm:linClrLst>
      <a:srgbClr val="5B9BD5"/>
    </dgm:linClrLst>
    <dgm:effectClrLst/>
    <dgm:txLinClrLst/>
    <dgm:txFillClrLst meth="repeat">
      <a:srgbClr val="000000"/>
    </dgm:txFillClrLst>
    <dgm:txEffectClrLst/>
  </dgm:styleLbl>
  <dgm:styleLbl name="fgAcc4">
    <dgm:fillClrLst meth="repeat">
      <a:srgbClr val="FFFFFF">
        <a:alpha val="90000"/>
      </a:srgbClr>
    </dgm:fillClrLst>
    <dgm:linClrLst>
      <a:srgbClr val="ED7D31"/>
    </dgm:linClrLst>
    <dgm:effectClrLst/>
    <dgm:txLinClrLst/>
    <dgm:txFillClrLst meth="repeat">
      <a:srgbClr val="000000"/>
    </dgm:txFillClrLst>
    <dgm:txEffectClrLst/>
  </dgm:styleLbl>
  <dgm:styleLbl name="fgAccFollowNode1">
    <dgm:fillClrLst>
      <a:srgbClr val="CFD5EA">
        <a:tint val="40000"/>
        <a:alpha val="90000"/>
      </a:srgbClr>
      <a:srgbClr val="D5E3CF">
        <a:tint val="40000"/>
        <a:alpha val="90000"/>
      </a:srgbClr>
    </dgm:fillClrLst>
    <dgm:linClrLst>
      <a:srgbClr val="CFD5EA">
        <a:tint val="40000"/>
        <a:alpha val="90000"/>
      </a:srgbClr>
      <a:srgbClr val="CFD5EA">
        <a:tint val="40000"/>
        <a:alpha val="90000"/>
      </a:srgbClr>
    </dgm:linClrLst>
    <dgm:effectClrLst/>
    <dgm:txLinClrLst/>
    <dgm:txFillClrLst meth="repeat">
      <a:srgbClr val="000000"/>
    </dgm:txFillClrLst>
    <dgm:txEffectClrLst/>
  </dgm:styleLbl>
  <dgm:styleLbl name="fgImgPlace1">
    <dgm:fillClrLst>
      <a:srgbClr val="C0C9E4">
        <a:tint val="50000"/>
      </a:srgbClr>
      <a:srgbClr val="C9DBC1">
        <a:tint val="50000"/>
      </a:srgbClr>
    </dgm:fillClrLst>
    <dgm:linClrLst meth="repeat">
      <a:srgbClr val="FFFFFF"/>
    </dgm:linClrLst>
    <dgm:effectClrLst/>
    <dgm:txLinClrLst/>
    <dgm:txFillClrLst meth="repeat">
      <a:srgbClr val="FFFFFF"/>
    </dgm:txFillClrLst>
    <dgm:txEffectClrLst/>
  </dgm:styleLbl>
  <dgm:styleLbl name="fgShp">
    <dgm:fillClrLst meth="repeat">
      <a:srgbClr val="CFD5EA">
        <a:tint val="40000"/>
      </a:srgbClr>
    </dgm:fillClrLst>
    <dgm:linClrLst meth="repeat">
      <a:srgbClr val="FFFFFF"/>
    </dgm:linClrLst>
    <dgm:effectClrLst/>
    <dgm:txLinClrLst/>
    <dgm:txFillClrLst meth="repeat">
      <a:srgbClr val="000000"/>
    </dgm:txFillClrLst>
    <dgm:txEffectClrLst/>
  </dgm:styleLbl>
  <dgm:styleLbl name="fgSibTrans2D1">
    <dgm:fillClrLst>
      <a:srgbClr val="4472C4"/>
      <a:srgbClr val="70AD47"/>
    </dgm:fillClrLst>
    <dgm:linClrLst meth="repeat">
      <a:srgbClr val="FFFFFF"/>
    </dgm:linClrLst>
    <dgm:effectClrLst/>
    <dgm:txLinClrLst/>
    <dgm:txFillClrLst meth="repeat">
      <a:srgbClr val="FFFFFF"/>
    </dgm:txFillClrLst>
    <dgm:txEffectClrLst/>
  </dgm:styleLbl>
  <dgm:styleLbl name="lnNode1">
    <dgm:fillClrLst>
      <a:srgbClr val="4472C4"/>
      <a:srgbClr val="70AD47"/>
    </dgm:fillClrLst>
    <dgm:linClrLst meth="repeat">
      <a:srgbClr val="FFFFFF"/>
    </dgm:linClrLst>
    <dgm:effectClrLst/>
    <dgm:txLinClrLst/>
    <dgm:txFillClrLst/>
    <dgm:txEffectClrLst/>
  </dgm:styleLbl>
  <dgm:styleLbl name="node0">
    <dgm:fillClrLst meth="repeat">
      <a:srgbClr val="FFC000"/>
    </dgm:fillClrLst>
    <dgm:linClrLst meth="repeat">
      <a:srgbClr val="FFFFFF"/>
    </dgm:linClrLst>
    <dgm:effectClrLst/>
    <dgm:txLinClrLst/>
    <dgm:txFillClrLst/>
    <dgm:txEffectClrLst/>
  </dgm:styleLbl>
  <dgm:styleLbl name="node1">
    <dgm:fillClrLst>
      <a:srgbClr val="4472C4"/>
      <a:srgbClr val="70AD47"/>
    </dgm:fillClrLst>
    <dgm:linClrLst meth="repeat">
      <a:srgbClr val="FFFFFF"/>
    </dgm:linClrLst>
    <dgm:effectClrLst/>
    <dgm:txLinClrLst/>
    <dgm:txFillClrLst/>
    <dgm:txEffectClrLst/>
  </dgm:styleLbl>
  <dgm:styleLbl name="node2">
    <dgm:fillClrLst>
      <a:srgbClr val="70AD47"/>
    </dgm:fillClrLst>
    <dgm:linClrLst meth="repeat">
      <a:srgbClr val="FFFFFF"/>
    </dgm:linClrLst>
    <dgm:effectClrLst/>
    <dgm:txLinClrLst/>
    <dgm:txFillClrLst/>
    <dgm:txEffectClrLst/>
  </dgm:styleLbl>
  <dgm:styleLbl name="node3">
    <dgm:fillClrLst>
      <a:srgbClr val="5B9BD5"/>
    </dgm:fillClrLst>
    <dgm:linClrLst meth="repeat">
      <a:srgbClr val="FFFFFF"/>
    </dgm:linClrLst>
    <dgm:effectClrLst/>
    <dgm:txLinClrLst/>
    <dgm:txFillClrLst/>
    <dgm:txEffectClrLst/>
  </dgm:styleLbl>
  <dgm:styleLbl name="node4">
    <dgm:fillClrLst>
      <a:srgbClr val="ED7D31"/>
    </dgm:fillClrLst>
    <dgm:linClrLst meth="repeat">
      <a:srgbClr val="FFFFFF"/>
    </dgm:linClrLst>
    <dgm:effectClrLst/>
    <dgm:txLinClrLst/>
    <dgm:txFillClrLst/>
    <dgm:txEffectClrLst/>
  </dgm:styleLbl>
  <dgm:styleLbl name="parChTrans1D1">
    <dgm:fillClrLst meth="repeat">
      <a:srgbClr val="4472C4"/>
    </dgm:fillClrLst>
    <dgm:linClrLst meth="repeat">
      <a:srgbClr val="4472C4"/>
    </dgm:linClrLst>
    <dgm:effectClrLst/>
    <dgm:txLinClrLst/>
    <dgm:txFillClrLst meth="repeat">
      <a:srgbClr val="000000"/>
    </dgm:txFillClrLst>
    <dgm:txEffectClrLst/>
  </dgm:styleLbl>
  <dgm:styleLbl name="parChTrans1D2">
    <dgm:fillClrLst meth="repeat">
      <a:srgbClr val="88B76E">
        <a:tint val="90000"/>
      </a:srgbClr>
    </dgm:fillClrLst>
    <dgm:linClrLst meth="repeat">
      <a:srgbClr val="70AD47"/>
    </dgm:linClrLst>
    <dgm:effectClrLst/>
    <dgm:txLinClrLst/>
    <dgm:txFillClrLst meth="repeat">
      <a:srgbClr val="000000"/>
    </dgm:txFillClrLst>
    <dgm:txEffectClrLst/>
  </dgm:styleLbl>
  <dgm:styleLbl name="parChTrans1D3">
    <dgm:fillClrLst meth="repeat">
      <a:srgbClr val="ACCA9E">
        <a:tint val="70000"/>
      </a:srgbClr>
    </dgm:fillClrLst>
    <dgm:linClrLst meth="repeat">
      <a:srgbClr val="5B9BD5"/>
    </dgm:linClrLst>
    <dgm:effectClrLst/>
    <dgm:txLinClrLst/>
    <dgm:txFillClrLst meth="repeat">
      <a:srgbClr val="000000"/>
    </dgm:txFillClrLst>
    <dgm:txEffectClrLst/>
  </dgm:styleLbl>
  <dgm:styleLbl name="parChTrans1D4">
    <dgm:fillClrLst meth="repeat">
      <a:srgbClr val="C9DBC1">
        <a:tint val="50000"/>
      </a:srgbClr>
    </dgm:fillClrLst>
    <dgm:linClrLst meth="repeat">
      <a:srgbClr val="ED7D31"/>
    </dgm:linClrLst>
    <dgm:effectClrLst/>
    <dgm:txLinClrLst/>
    <dgm:txFillClrLst meth="repeat">
      <a:srgbClr val="000000"/>
    </dgm:txFillClrLst>
    <dgm:txEffectClrLst/>
  </dgm:styleLbl>
  <dgm:styleLbl name="parChTrans2D1">
    <dgm:fillClrLst meth="repeat">
      <a:srgbClr val="4472C4"/>
    </dgm:fillClrLst>
    <dgm:linClrLst meth="repeat">
      <a:srgbClr val="FFFFFF"/>
    </dgm:linClrLst>
    <dgm:effectClrLst/>
    <dgm:txLinClrLst/>
    <dgm:txFillClrLst meth="repeat">
      <a:srgbClr val="FFFFFF"/>
    </dgm:txFillClrLst>
    <dgm:txEffectClrLst/>
  </dgm:styleLbl>
  <dgm:styleLbl name="parChTrans2D2">
    <dgm:fillClrLst meth="repeat">
      <a:srgbClr val="70AD47"/>
    </dgm:fillClrLst>
    <dgm:linClrLst meth="repeat">
      <a:srgbClr val="FFFFFF"/>
    </dgm:linClrLst>
    <dgm:effectClrLst/>
    <dgm:txLinClrLst/>
    <dgm:txFillClrLst/>
    <dgm:txEffectClrLst/>
  </dgm:styleLbl>
  <dgm:styleLbl name="parChTrans2D3">
    <dgm:fillClrLst meth="repeat">
      <a:srgbClr val="70AD47"/>
    </dgm:fillClrLst>
    <dgm:linClrLst meth="repeat">
      <a:srgbClr val="FFFFFF"/>
    </dgm:linClrLst>
    <dgm:effectClrLst/>
    <dgm:txLinClrLst/>
    <dgm:txFillClrLst/>
    <dgm:txEffectClrLst/>
  </dgm:styleLbl>
  <dgm:styleLbl name="parChTrans2D4">
    <dgm:fillClrLst meth="repeat">
      <a:srgbClr val="5B9BD5"/>
    </dgm:fillClrLst>
    <dgm:linClrLst meth="repeat">
      <a:srgbClr val="FFFFFF"/>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dgm:linClrLst>
      <a:srgbClr val="4472C4"/>
      <a:srgbClr val="70AD47"/>
    </dgm:linClrLst>
    <dgm:effectClrLst/>
    <dgm:txLinClrLst/>
    <dgm:txFillClrLst meth="repeat">
      <a:srgbClr val="000000"/>
    </dgm:txFillClrLst>
    <dgm:txEffectClrLst/>
  </dgm:styleLbl>
  <dgm:styleLbl name="sibTrans2D1">
    <dgm:fillClrLst>
      <a:srgbClr val="4472C4"/>
      <a:srgbClr val="70AD47"/>
    </dgm:fillClrLst>
    <dgm:linClrLst meth="repeat">
      <a:srgbClr val="FFFFFF"/>
    </dgm:linClrLst>
    <dgm:effectClrLst/>
    <dgm:txLinClrLst/>
    <dgm:txFillClrLst/>
    <dgm:txEffectClrLst/>
  </dgm:styleLbl>
  <dgm:styleLbl name="solidAlignAcc1">
    <dgm:fillClrLst meth="repeat">
      <a:srgbClr val="FFFFFF"/>
    </dgm:fillClrLst>
    <dgm:linClrLst>
      <a:srgbClr val="4472C4"/>
      <a:srgbClr val="70AD47"/>
    </dgm:linClrLst>
    <dgm:effectClrLst/>
    <dgm:txLinClrLst/>
    <dgm:txFillClrLst meth="repeat">
      <a:srgbClr val="000000"/>
    </dgm:txFillClrLst>
    <dgm:txEffectClrLst/>
  </dgm:styleLbl>
  <dgm:styleLbl name="solidBgAcc1">
    <dgm:fillClrLst meth="repeat">
      <a:srgbClr val="FFFFFF"/>
    </dgm:fillClrLst>
    <dgm:linClrLst>
      <a:srgbClr val="4472C4"/>
      <a:srgbClr val="70AD47"/>
    </dgm:linClrLst>
    <dgm:effectClrLst/>
    <dgm:txLinClrLst/>
    <dgm:txFillClrLst meth="repeat">
      <a:srgbClr val="000000"/>
    </dgm:txFillClrLst>
    <dgm:txEffectClrLst/>
  </dgm:styleLbl>
  <dgm:styleLbl name="solidFgAcc1">
    <dgm:fillClrLst meth="repeat">
      <a:srgbClr val="FFFFFF"/>
    </dgm:fillClrLst>
    <dgm:linClrLst>
      <a:srgbClr val="4472C4"/>
      <a:srgbClr val="70AD47"/>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4472C4"/>
    </dgm:linClrLst>
    <dgm:effectClrLst/>
    <dgm:txLinClrLst/>
    <dgm:txFillClrLst meth="repeat">
      <a:srgbClr val="000000"/>
    </dgm:txFillClrLst>
    <dgm:txEffectClrLst/>
  </dgm:styleLbl>
  <dgm:styleLbl name="trBgShp">
    <dgm:fillClrLst meth="repeat">
      <a:srgbClr val="C0C9E4">
        <a:tint val="50000"/>
        <a:alpha val="40000"/>
      </a:srgbClr>
    </dgm:fillClrLst>
    <dgm:linClrLst meth="repeat">
      <a:srgbClr val="4472C4"/>
    </dgm:linClrLst>
    <dgm:effectClrLst/>
    <dgm:txLinClrLst/>
    <dgm:txFillClrLst meth="repeat">
      <a:srgbClr val="FFFFFF"/>
    </dgm:txFillClrLst>
    <dgm:txEffectClrLst/>
  </dgm:styleLbl>
  <dgm:styleLbl name="vennNode1">
    <dgm:fillClrLst>
      <a:srgbClr val="4472C4">
        <a:alpha val="50000"/>
      </a:srgbClr>
      <a:srgbClr val="70AD47">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C0208B9-C12E-4CEF-A260-2B5135DCE0F4}" type="doc">
      <dgm:prSet loTypeId="urn:microsoft.com/office/officeart/2005/8/layout/process4" loCatId="process" qsTypeId="urn:microsoft.com/office/officeart/2005/8/quickstyle/simple1#1" qsCatId="simple" csTypeId="urn:microsoft.com/office/officeart/2005/8/colors/colorful5#1" csCatId="colorful" phldr="1"/>
      <dgm:spPr/>
      <dgm:t>
        <a:bodyPr/>
        <a:lstStyle/>
        <a:p>
          <a:endParaRPr lang="en-US"/>
        </a:p>
      </dgm:t>
    </dgm:pt>
    <dgm:pt modelId="{C1E97A5C-F630-4391-AE11-D5614FA47E1D}">
      <dgm:prSet phldrT="[Text]" custT="1"/>
      <dgm:spPr/>
      <dgm:t>
        <a:bodyPr/>
        <a:lstStyle/>
        <a:p>
          <a:r>
            <a:rPr lang="en-US" sz="600" b="1">
              <a:solidFill>
                <a:srgbClr val="000000"/>
              </a:solidFill>
              <a:latin typeface="StobiSerif Regular" panose="02000503060000020004" pitchFamily="3" charset="0"/>
            </a:rPr>
            <a:t>ОНЛАЈН ЕДУКАЦИЈА И ИНФОРМИРАЊЕ </a:t>
          </a:r>
        </a:p>
        <a:p>
          <a:r>
            <a:rPr lang="en-US" sz="600" b="1">
              <a:solidFill>
                <a:srgbClr val="000000"/>
              </a:solidFill>
              <a:latin typeface="StobiSerif Regular" panose="02000503060000020004" pitchFamily="3" charset="0"/>
            </a:rPr>
            <a:t>октомври 2020</a:t>
          </a:r>
        </a:p>
      </dgm:t>
    </dgm:pt>
    <dgm:pt modelId="{56572EDD-8643-48C3-AE09-DFBF88BCC20E}" type="parTrans" cxnId="{67E0EF71-7779-4076-9A54-382A62008CEA}">
      <dgm:prSet/>
      <dgm:spPr/>
      <dgm:t>
        <a:bodyPr/>
        <a:lstStyle/>
        <a:p>
          <a:endParaRPr lang="en-US" b="1">
            <a:solidFill>
              <a:srgbClr val="000000"/>
            </a:solidFill>
          </a:endParaRPr>
        </a:p>
      </dgm:t>
    </dgm:pt>
    <dgm:pt modelId="{A9A03968-400E-445A-9A1F-1072D102A05F}" type="sibTrans" cxnId="{67E0EF71-7779-4076-9A54-382A62008CEA}">
      <dgm:prSet/>
      <dgm:spPr/>
      <dgm:t>
        <a:bodyPr/>
        <a:lstStyle/>
        <a:p>
          <a:endParaRPr lang="en-US" b="1">
            <a:solidFill>
              <a:srgbClr val="000000"/>
            </a:solidFill>
          </a:endParaRPr>
        </a:p>
      </dgm:t>
    </dgm:pt>
    <dgm:pt modelId="{74A22F76-47B5-474C-927F-15672C66F5CA}">
      <dgm:prSet custT="1"/>
      <dgm:spPr/>
      <dgm:t>
        <a:bodyPr/>
        <a:lstStyle/>
        <a:p>
          <a:r>
            <a:rPr lang="en-US" sz="600" b="1">
              <a:solidFill>
                <a:srgbClr val="000000"/>
              </a:solidFill>
              <a:latin typeface="StobiSerif Regular" panose="02000503060000020004" pitchFamily="3" charset="0"/>
            </a:rPr>
            <a:t>ПРВА ОНЛАЈН РАБОТИЛНИЦА-УТВРДУВАЊЕ НА ПОСТИГНАТИ РЕЗУЛАТИ И УТВРДУВАЊЕ НА МОМЕНТАЛНА СОСТОЈБА ВО ОБЛАСТА</a:t>
          </a:r>
        </a:p>
        <a:p>
          <a:r>
            <a:rPr lang="en-US" sz="600" b="1">
              <a:solidFill>
                <a:srgbClr val="000000"/>
              </a:solidFill>
              <a:latin typeface="StobiSerif Regular" panose="02000503060000020004" pitchFamily="3" charset="0"/>
            </a:rPr>
            <a:t>3 – 6 ноември 2020 </a:t>
          </a:r>
        </a:p>
      </dgm:t>
    </dgm:pt>
    <dgm:pt modelId="{18849DD8-821A-442C-B666-9CB509352356}" type="parTrans" cxnId="{F92F5D27-26F7-4C4B-9974-F2A47D56F33D}">
      <dgm:prSet/>
      <dgm:spPr/>
      <dgm:t>
        <a:bodyPr/>
        <a:lstStyle/>
        <a:p>
          <a:endParaRPr lang="en-US" b="1">
            <a:solidFill>
              <a:srgbClr val="000000"/>
            </a:solidFill>
          </a:endParaRPr>
        </a:p>
      </dgm:t>
    </dgm:pt>
    <dgm:pt modelId="{9D7E6535-2F20-4F45-9250-82940963DF91}" type="sibTrans" cxnId="{F92F5D27-26F7-4C4B-9974-F2A47D56F33D}">
      <dgm:prSet/>
      <dgm:spPr/>
      <dgm:t>
        <a:bodyPr/>
        <a:lstStyle/>
        <a:p>
          <a:endParaRPr lang="en-US" b="1">
            <a:solidFill>
              <a:srgbClr val="000000"/>
            </a:solidFill>
          </a:endParaRPr>
        </a:p>
      </dgm:t>
    </dgm:pt>
    <dgm:pt modelId="{B1DA170B-0D63-4803-B627-10076BFC4FF9}">
      <dgm:prSet custT="1"/>
      <dgm:spPr/>
      <dgm:t>
        <a:bodyPr/>
        <a:lstStyle/>
        <a:p>
          <a:r>
            <a:rPr lang="en-US" sz="700" b="1">
              <a:solidFill>
                <a:srgbClr val="000000"/>
              </a:solidFill>
            </a:rPr>
            <a:t>ВТОРА ОНЛАЈН РАБОТИЛНИЦА-ИДЕНТИФИКУВАЊЕ НА ПРОБЛЕМИ</a:t>
          </a:r>
        </a:p>
        <a:p>
          <a:r>
            <a:rPr lang="en-US" sz="700" b="1">
              <a:solidFill>
                <a:srgbClr val="000000"/>
              </a:solidFill>
            </a:rPr>
            <a:t> 12 – 17 ноември 2020</a:t>
          </a:r>
        </a:p>
      </dgm:t>
    </dgm:pt>
    <dgm:pt modelId="{BA81700C-53E0-43BB-8CE2-45F4EFF1FD32}" type="parTrans" cxnId="{A1003D54-AD81-49B8-AB3D-FB314CAAFB8A}">
      <dgm:prSet/>
      <dgm:spPr/>
      <dgm:t>
        <a:bodyPr/>
        <a:lstStyle/>
        <a:p>
          <a:endParaRPr lang="en-US" b="1">
            <a:solidFill>
              <a:srgbClr val="000000"/>
            </a:solidFill>
          </a:endParaRPr>
        </a:p>
      </dgm:t>
    </dgm:pt>
    <dgm:pt modelId="{6F62982D-1BFA-4CD8-AAAE-E1A421C84CFE}" type="sibTrans" cxnId="{A1003D54-AD81-49B8-AB3D-FB314CAAFB8A}">
      <dgm:prSet/>
      <dgm:spPr/>
      <dgm:t>
        <a:bodyPr/>
        <a:lstStyle/>
        <a:p>
          <a:endParaRPr lang="en-US" b="1">
            <a:solidFill>
              <a:srgbClr val="000000"/>
            </a:solidFill>
          </a:endParaRPr>
        </a:p>
      </dgm:t>
    </dgm:pt>
    <dgm:pt modelId="{2069451B-20A9-44F1-9B0F-6C92E0C4395A}">
      <dgm:prSet/>
      <dgm:spPr/>
      <dgm:t>
        <a:bodyPr/>
        <a:lstStyle/>
        <a:p>
          <a:pPr algn="r"/>
          <a:r>
            <a:rPr lang="en-US" b="1">
              <a:solidFill>
                <a:srgbClr val="000000"/>
              </a:solidFill>
            </a:rPr>
            <a:t>Индивидуални состаноци, ноември - декември 2020  </a:t>
          </a:r>
          <a:endParaRPr lang="en-US">
            <a:solidFill>
              <a:srgbClr val="000000"/>
            </a:solidFill>
          </a:endParaRPr>
        </a:p>
      </dgm:t>
    </dgm:pt>
    <dgm:pt modelId="{A3AF89D1-3413-4B3C-BFE3-3DDB9E83BD6A}" type="parTrans" cxnId="{A74981D2-E73E-49B5-9F35-7B3E278E7F71}">
      <dgm:prSet/>
      <dgm:spPr/>
      <dgm:t>
        <a:bodyPr/>
        <a:lstStyle/>
        <a:p>
          <a:endParaRPr lang="en-US">
            <a:solidFill>
              <a:srgbClr val="000000"/>
            </a:solidFill>
          </a:endParaRPr>
        </a:p>
      </dgm:t>
    </dgm:pt>
    <dgm:pt modelId="{B3C17A76-C758-4EB5-AF3B-1EFC7C463818}" type="sibTrans" cxnId="{A74981D2-E73E-49B5-9F35-7B3E278E7F71}">
      <dgm:prSet/>
      <dgm:spPr/>
      <dgm:t>
        <a:bodyPr/>
        <a:lstStyle/>
        <a:p>
          <a:endParaRPr lang="en-US">
            <a:solidFill>
              <a:srgbClr val="000000"/>
            </a:solidFill>
          </a:endParaRPr>
        </a:p>
      </dgm:t>
    </dgm:pt>
    <dgm:pt modelId="{7B943920-101E-40F5-A315-07168AEAC61E}">
      <dgm:prSet custT="1"/>
      <dgm:spPr/>
      <dgm:t>
        <a:bodyPr/>
        <a:lstStyle/>
        <a:p>
          <a:r>
            <a:rPr lang="en-US" sz="700" b="1">
              <a:solidFill>
                <a:srgbClr val="000000"/>
              </a:solidFill>
              <a:latin typeface="StobiSerif Regular" panose="02000503060000020004" pitchFamily="3" charset="0"/>
            </a:rPr>
            <a:t>ТРЕТА ОНЛАЈН РАБОТИЛНИЦА- УТВРДУВАЊЕ НА АКТИВНИ ПОЛИТИКИ НА ИНСТИТУЦИИТЕ</a:t>
          </a:r>
        </a:p>
        <a:p>
          <a:r>
            <a:rPr lang="en-US" sz="700" b="1">
              <a:solidFill>
                <a:srgbClr val="000000"/>
              </a:solidFill>
              <a:latin typeface="StobiSerif Regular" panose="02000503060000020004" pitchFamily="3" charset="0"/>
            </a:rPr>
            <a:t> 7 – 11 декември 2020 </a:t>
          </a:r>
          <a:endParaRPr lang="en-US" sz="700">
            <a:solidFill>
              <a:srgbClr val="000000"/>
            </a:solidFill>
            <a:latin typeface="StobiSerif Regular" panose="02000503060000020004" pitchFamily="3" charset="0"/>
          </a:endParaRPr>
        </a:p>
      </dgm:t>
    </dgm:pt>
    <dgm:pt modelId="{61EEA1A4-0581-422C-B536-75E8F39C69A3}" type="parTrans" cxnId="{5807DAE5-7829-4073-8061-DE33056847F3}">
      <dgm:prSet/>
      <dgm:spPr/>
      <dgm:t>
        <a:bodyPr/>
        <a:lstStyle/>
        <a:p>
          <a:endParaRPr lang="en-US">
            <a:solidFill>
              <a:srgbClr val="000000"/>
            </a:solidFill>
          </a:endParaRPr>
        </a:p>
      </dgm:t>
    </dgm:pt>
    <dgm:pt modelId="{759C90E0-3A5A-48AF-A02D-24105243349D}" type="sibTrans" cxnId="{5807DAE5-7829-4073-8061-DE33056847F3}">
      <dgm:prSet/>
      <dgm:spPr/>
      <dgm:t>
        <a:bodyPr/>
        <a:lstStyle/>
        <a:p>
          <a:endParaRPr lang="en-US">
            <a:solidFill>
              <a:srgbClr val="000000"/>
            </a:solidFill>
          </a:endParaRPr>
        </a:p>
      </dgm:t>
    </dgm:pt>
    <dgm:pt modelId="{A28356CE-CAE1-480C-B972-FC87C47FCAA8}">
      <dgm:prSet custT="1"/>
      <dgm:spPr/>
      <dgm:t>
        <a:bodyPr/>
        <a:lstStyle/>
        <a:p>
          <a:r>
            <a:rPr lang="en-US" sz="700" b="1">
              <a:solidFill>
                <a:srgbClr val="000000"/>
              </a:solidFill>
              <a:latin typeface="StobiSerif Regular" panose="02000503060000020004" pitchFamily="3" charset="0"/>
            </a:rPr>
            <a:t>ЧЕТВРТА ОНЛАЈН РАБОТИЛНИЦА-ФИНАЛИЗИРАЊЕ НА ЗАЛОЖБИТЕ</a:t>
          </a:r>
        </a:p>
        <a:p>
          <a:r>
            <a:rPr lang="en-US" sz="700" b="1">
              <a:solidFill>
                <a:srgbClr val="000000"/>
              </a:solidFill>
              <a:latin typeface="StobiSerif Regular" panose="02000503060000020004" pitchFamily="3" charset="0"/>
            </a:rPr>
            <a:t>ЈУНИ 2021 </a:t>
          </a:r>
        </a:p>
      </dgm:t>
    </dgm:pt>
    <dgm:pt modelId="{075142DD-B1F6-4530-A2F0-8D785D1ED322}" type="parTrans" cxnId="{559A4174-6D5F-4D7E-8318-C72084F8C431}">
      <dgm:prSet/>
      <dgm:spPr/>
      <dgm:t>
        <a:bodyPr/>
        <a:lstStyle/>
        <a:p>
          <a:endParaRPr lang="en-US">
            <a:solidFill>
              <a:srgbClr val="000000"/>
            </a:solidFill>
          </a:endParaRPr>
        </a:p>
      </dgm:t>
    </dgm:pt>
    <dgm:pt modelId="{A05996E1-4B9B-4FD1-83F4-664DC5759894}" type="sibTrans" cxnId="{559A4174-6D5F-4D7E-8318-C72084F8C431}">
      <dgm:prSet/>
      <dgm:spPr/>
      <dgm:t>
        <a:bodyPr/>
        <a:lstStyle/>
        <a:p>
          <a:endParaRPr lang="en-US">
            <a:solidFill>
              <a:srgbClr val="000000"/>
            </a:solidFill>
          </a:endParaRPr>
        </a:p>
      </dgm:t>
    </dgm:pt>
    <dgm:pt modelId="{F4722356-AA2D-43D1-9175-4D0A14367CC7}">
      <dgm:prSet/>
      <dgm:spPr/>
      <dgm:t>
        <a:bodyPr/>
        <a:lstStyle/>
        <a:p>
          <a:pPr algn="r"/>
          <a:r>
            <a:rPr lang="en-US" b="1">
              <a:solidFill>
                <a:srgbClr val="000000"/>
              </a:solidFill>
            </a:rPr>
            <a:t>Индивидуални состаноци, декември - мај  2021  </a:t>
          </a:r>
          <a:endParaRPr lang="en-US">
            <a:solidFill>
              <a:srgbClr val="000000"/>
            </a:solidFill>
          </a:endParaRPr>
        </a:p>
      </dgm:t>
    </dgm:pt>
    <dgm:pt modelId="{A0FC7412-7EA7-428A-88C4-7A08C921E589}" type="parTrans" cxnId="{8A5426AA-3F52-4EA7-8E81-91C83384ECCE}">
      <dgm:prSet/>
      <dgm:spPr/>
      <dgm:t>
        <a:bodyPr/>
        <a:lstStyle/>
        <a:p>
          <a:endParaRPr lang="en-US">
            <a:solidFill>
              <a:srgbClr val="000000"/>
            </a:solidFill>
          </a:endParaRPr>
        </a:p>
      </dgm:t>
    </dgm:pt>
    <dgm:pt modelId="{93A53D84-D41A-46AA-B34D-9F1E7D5EFDFB}" type="sibTrans" cxnId="{8A5426AA-3F52-4EA7-8E81-91C83384ECCE}">
      <dgm:prSet/>
      <dgm:spPr/>
      <dgm:t>
        <a:bodyPr/>
        <a:lstStyle/>
        <a:p>
          <a:endParaRPr lang="en-US">
            <a:solidFill>
              <a:srgbClr val="000000"/>
            </a:solidFill>
          </a:endParaRPr>
        </a:p>
      </dgm:t>
    </dgm:pt>
    <dgm:pt modelId="{5CF7E9ED-49F7-4EC7-80D1-3C698DE6A512}">
      <dgm:prSet custT="1"/>
      <dgm:spPr/>
      <dgm:t>
        <a:bodyPr/>
        <a:lstStyle/>
        <a:p>
          <a:r>
            <a:rPr lang="en-US" sz="600" b="1">
              <a:solidFill>
                <a:srgbClr val="000000"/>
              </a:solidFill>
              <a:latin typeface="StobiSerif Regular" panose="02000503060000020004" pitchFamily="3" charset="0"/>
            </a:rPr>
            <a:t>ОНЛАЈН КОНФЕРЕНЦИЈА ЗА ОТПОЧНУВАЊЕ НА ПОЦЕС НА КО-КРЕИРАЊЕ</a:t>
          </a:r>
        </a:p>
        <a:p>
          <a:r>
            <a:rPr lang="en-US" sz="600" b="1">
              <a:solidFill>
                <a:srgbClr val="000000"/>
              </a:solidFill>
              <a:latin typeface="StobiSerif Regular" panose="02000503060000020004" pitchFamily="3" charset="0"/>
            </a:rPr>
            <a:t>30 септември 2020 </a:t>
          </a:r>
        </a:p>
      </dgm:t>
    </dgm:pt>
    <dgm:pt modelId="{20BC1D27-118F-474B-B9BE-402CD49545EA}" type="parTrans" cxnId="{DAD97387-B39C-4DBC-9D10-2DC75333346B}">
      <dgm:prSet/>
      <dgm:spPr/>
      <dgm:t>
        <a:bodyPr/>
        <a:lstStyle/>
        <a:p>
          <a:endParaRPr lang="en-US">
            <a:solidFill>
              <a:srgbClr val="000000"/>
            </a:solidFill>
          </a:endParaRPr>
        </a:p>
      </dgm:t>
    </dgm:pt>
    <dgm:pt modelId="{088B1513-0444-4AE4-85F9-A6D69C8DADF6}" type="sibTrans" cxnId="{DAD97387-B39C-4DBC-9D10-2DC75333346B}">
      <dgm:prSet/>
      <dgm:spPr/>
      <dgm:t>
        <a:bodyPr/>
        <a:lstStyle/>
        <a:p>
          <a:endParaRPr lang="en-US">
            <a:solidFill>
              <a:srgbClr val="000000"/>
            </a:solidFill>
          </a:endParaRPr>
        </a:p>
      </dgm:t>
    </dgm:pt>
    <dgm:pt modelId="{F736F6E0-088C-4CEA-A131-FE08F2660728}">
      <dgm:prSet custT="1"/>
      <dgm:spPr/>
      <dgm:t>
        <a:bodyPr/>
        <a:lstStyle/>
        <a:p>
          <a:r>
            <a:rPr lang="en-US" sz="700" b="1">
              <a:solidFill>
                <a:srgbClr val="000000"/>
              </a:solidFill>
              <a:latin typeface="StobiSerif Regular" panose="02000503060000020004" pitchFamily="3" charset="0"/>
            </a:rPr>
            <a:t>СОВЕТ ЗА ОВП-КОНСЛТАЦИЈА НА ПОРТАЛ ЗА ПОВ</a:t>
          </a:r>
        </a:p>
        <a:p>
          <a:r>
            <a:rPr lang="en-US" sz="700" b="1">
              <a:solidFill>
                <a:srgbClr val="000000"/>
              </a:solidFill>
              <a:latin typeface="StobiSerif Regular" panose="02000503060000020004" pitchFamily="3" charset="0"/>
            </a:rPr>
            <a:t>јули/август 2021</a:t>
          </a:r>
        </a:p>
      </dgm:t>
    </dgm:pt>
    <dgm:pt modelId="{CCFA86AE-AA9F-4034-8E0D-0BE34F03FD89}" type="parTrans" cxnId="{8605A425-0097-4228-B2C2-196FE1A35497}">
      <dgm:prSet/>
      <dgm:spPr/>
      <dgm:t>
        <a:bodyPr/>
        <a:lstStyle/>
        <a:p>
          <a:endParaRPr lang="en-US"/>
        </a:p>
      </dgm:t>
    </dgm:pt>
    <dgm:pt modelId="{7202F344-3375-4A4A-A2E2-3082CE0EDD38}" type="sibTrans" cxnId="{8605A425-0097-4228-B2C2-196FE1A35497}">
      <dgm:prSet/>
      <dgm:spPr/>
      <dgm:t>
        <a:bodyPr/>
        <a:lstStyle/>
        <a:p>
          <a:endParaRPr lang="en-US"/>
        </a:p>
      </dgm:t>
    </dgm:pt>
    <dgm:pt modelId="{CA17E883-3C1B-47D7-BB50-8018DA3E4A12}">
      <dgm:prSet/>
      <dgm:spPr/>
      <dgm:t>
        <a:bodyPr/>
        <a:lstStyle/>
        <a:p>
          <a:pPr algn="r"/>
          <a:r>
            <a:rPr lang="en-US" b="1">
              <a:solidFill>
                <a:srgbClr val="000000"/>
              </a:solidFill>
            </a:rPr>
            <a:t>Индивидуални состаноци, мај-јуни 2021</a:t>
          </a:r>
          <a:endParaRPr lang="en-US">
            <a:solidFill>
              <a:srgbClr val="000000"/>
            </a:solidFill>
          </a:endParaRPr>
        </a:p>
      </dgm:t>
    </dgm:pt>
    <dgm:pt modelId="{7819F3C5-0B44-4100-8037-268B78A5DD73}" type="parTrans" cxnId="{1D05BEBF-93D2-4FEB-BA24-41DE0EF167EB}">
      <dgm:prSet/>
      <dgm:spPr/>
      <dgm:t>
        <a:bodyPr/>
        <a:lstStyle/>
        <a:p>
          <a:endParaRPr lang="en-US"/>
        </a:p>
      </dgm:t>
    </dgm:pt>
    <dgm:pt modelId="{526C4569-771A-41AD-970C-482705397E95}" type="sibTrans" cxnId="{1D05BEBF-93D2-4FEB-BA24-41DE0EF167EB}">
      <dgm:prSet/>
      <dgm:spPr/>
      <dgm:t>
        <a:bodyPr/>
        <a:lstStyle/>
        <a:p>
          <a:endParaRPr lang="en-US"/>
        </a:p>
      </dgm:t>
    </dgm:pt>
    <dgm:pt modelId="{A67AF750-F3D1-434B-9DB8-903275FF38BC}" type="pres">
      <dgm:prSet presAssocID="{6C0208B9-C12E-4CEF-A260-2B5135DCE0F4}" presName="Name0" presStyleCnt="0">
        <dgm:presLayoutVars>
          <dgm:dir/>
          <dgm:animLvl val="lvl"/>
          <dgm:resizeHandles val="exact"/>
        </dgm:presLayoutVars>
      </dgm:prSet>
      <dgm:spPr/>
    </dgm:pt>
    <dgm:pt modelId="{2362617A-7F84-483F-9ED3-7B26D7CCD113}" type="pres">
      <dgm:prSet presAssocID="{F736F6E0-088C-4CEA-A131-FE08F2660728}" presName="boxAndChildren" presStyleCnt="0"/>
      <dgm:spPr/>
    </dgm:pt>
    <dgm:pt modelId="{B642B4A2-C0DA-42AB-99FF-F2E8A2D99446}" type="pres">
      <dgm:prSet presAssocID="{F736F6E0-088C-4CEA-A131-FE08F2660728}" presName="parentTextBox" presStyleLbl="node1" presStyleIdx="0" presStyleCnt="10" custScaleY="188392"/>
      <dgm:spPr/>
    </dgm:pt>
    <dgm:pt modelId="{7EBE83A6-4FD2-46F8-89C9-29CEC5BE7BF5}" type="pres">
      <dgm:prSet presAssocID="{526C4569-771A-41AD-970C-482705397E95}" presName="sp" presStyleCnt="0"/>
      <dgm:spPr/>
    </dgm:pt>
    <dgm:pt modelId="{7929FD1E-A847-4E05-A78C-F5F0CB40F80D}" type="pres">
      <dgm:prSet presAssocID="{CA17E883-3C1B-47D7-BB50-8018DA3E4A12}" presName="arrowAndChildren" presStyleCnt="0"/>
      <dgm:spPr/>
    </dgm:pt>
    <dgm:pt modelId="{6C4A0F2E-1D33-424F-938C-DDE0EF74F42F}" type="pres">
      <dgm:prSet presAssocID="{CA17E883-3C1B-47D7-BB50-8018DA3E4A12}" presName="parentTextArrow" presStyleLbl="node1" presStyleIdx="1" presStyleCnt="10"/>
      <dgm:spPr/>
    </dgm:pt>
    <dgm:pt modelId="{629E6DD5-F2D9-456F-8F69-7301AC03F261}" type="pres">
      <dgm:prSet presAssocID="{A05996E1-4B9B-4FD1-83F4-664DC5759894}" presName="sp" presStyleCnt="0"/>
      <dgm:spPr/>
    </dgm:pt>
    <dgm:pt modelId="{1B911DD2-A739-4F67-A978-DBB2C8DC9E87}" type="pres">
      <dgm:prSet presAssocID="{A28356CE-CAE1-480C-B972-FC87C47FCAA8}" presName="arrowAndChildren" presStyleCnt="0"/>
      <dgm:spPr/>
    </dgm:pt>
    <dgm:pt modelId="{6F48B4D7-7494-472F-8C18-887FEDD80F86}" type="pres">
      <dgm:prSet presAssocID="{A28356CE-CAE1-480C-B972-FC87C47FCAA8}" presName="parentTextArrow" presStyleLbl="node1" presStyleIdx="2" presStyleCnt="10" custScaleY="187036"/>
      <dgm:spPr/>
    </dgm:pt>
    <dgm:pt modelId="{E2C6BD32-285B-4C04-A341-2BA43A0FA15B}" type="pres">
      <dgm:prSet presAssocID="{93A53D84-D41A-46AA-B34D-9F1E7D5EFDFB}" presName="sp" presStyleCnt="0"/>
      <dgm:spPr/>
    </dgm:pt>
    <dgm:pt modelId="{685CB31D-5A66-4493-B1F8-EC13BEA8619C}" type="pres">
      <dgm:prSet presAssocID="{F4722356-AA2D-43D1-9175-4D0A14367CC7}" presName="arrowAndChildren" presStyleCnt="0"/>
      <dgm:spPr/>
    </dgm:pt>
    <dgm:pt modelId="{A13CB0D9-5F4C-4964-9412-5548076D5214}" type="pres">
      <dgm:prSet presAssocID="{F4722356-AA2D-43D1-9175-4D0A14367CC7}" presName="parentTextArrow" presStyleLbl="node1" presStyleIdx="3" presStyleCnt="10"/>
      <dgm:spPr/>
    </dgm:pt>
    <dgm:pt modelId="{0E5A1ACC-397B-4214-90EA-A3793CF2F78B}" type="pres">
      <dgm:prSet presAssocID="{759C90E0-3A5A-48AF-A02D-24105243349D}" presName="sp" presStyleCnt="0"/>
      <dgm:spPr/>
    </dgm:pt>
    <dgm:pt modelId="{80369981-B96C-44F4-AC4A-07A8451D96D2}" type="pres">
      <dgm:prSet presAssocID="{7B943920-101E-40F5-A315-07168AEAC61E}" presName="arrowAndChildren" presStyleCnt="0"/>
      <dgm:spPr/>
    </dgm:pt>
    <dgm:pt modelId="{64DA289C-C2E7-415F-BDDB-EE9172B3A731}" type="pres">
      <dgm:prSet presAssocID="{7B943920-101E-40F5-A315-07168AEAC61E}" presName="parentTextArrow" presStyleLbl="node1" presStyleIdx="4" presStyleCnt="10" custScaleY="195204" custLinFactNeighborX="-322"/>
      <dgm:spPr/>
    </dgm:pt>
    <dgm:pt modelId="{2AB7D5BB-F8B0-4993-B039-669B828ABDB9}" type="pres">
      <dgm:prSet presAssocID="{B3C17A76-C758-4EB5-AF3B-1EFC7C463818}" presName="sp" presStyleCnt="0"/>
      <dgm:spPr/>
    </dgm:pt>
    <dgm:pt modelId="{4414609F-433D-48CC-AB62-1FEE6EAE4DE0}" type="pres">
      <dgm:prSet presAssocID="{2069451B-20A9-44F1-9B0F-6C92E0C4395A}" presName="arrowAndChildren" presStyleCnt="0"/>
      <dgm:spPr/>
    </dgm:pt>
    <dgm:pt modelId="{F32F9CA1-1CF4-44D9-8042-1EA669A4E51B}" type="pres">
      <dgm:prSet presAssocID="{2069451B-20A9-44F1-9B0F-6C92E0C4395A}" presName="parentTextArrow" presStyleLbl="node1" presStyleIdx="5" presStyleCnt="10"/>
      <dgm:spPr/>
    </dgm:pt>
    <dgm:pt modelId="{5F639F9E-0E03-4455-A9C6-2C1FA14A52CA}" type="pres">
      <dgm:prSet presAssocID="{6F62982D-1BFA-4CD8-AAAE-E1A421C84CFE}" presName="sp" presStyleCnt="0"/>
      <dgm:spPr/>
    </dgm:pt>
    <dgm:pt modelId="{A4F27A8D-9A57-41F7-8BA4-B01ADBCD650E}" type="pres">
      <dgm:prSet presAssocID="{B1DA170B-0D63-4803-B627-10076BFC4FF9}" presName="arrowAndChildren" presStyleCnt="0"/>
      <dgm:spPr/>
    </dgm:pt>
    <dgm:pt modelId="{D900AF0A-20C1-4763-8630-09F71442BD4F}" type="pres">
      <dgm:prSet presAssocID="{B1DA170B-0D63-4803-B627-10076BFC4FF9}" presName="parentTextArrow" presStyleLbl="node1" presStyleIdx="6" presStyleCnt="10" custScaleY="210042"/>
      <dgm:spPr/>
    </dgm:pt>
    <dgm:pt modelId="{6806175C-57AD-46FD-A2C1-2EC527790A5A}" type="pres">
      <dgm:prSet presAssocID="{9D7E6535-2F20-4F45-9250-82940963DF91}" presName="sp" presStyleCnt="0"/>
      <dgm:spPr/>
    </dgm:pt>
    <dgm:pt modelId="{44E5F06C-6DF9-4A14-A51D-05F91C9F9DC3}" type="pres">
      <dgm:prSet presAssocID="{74A22F76-47B5-474C-927F-15672C66F5CA}" presName="arrowAndChildren" presStyleCnt="0"/>
      <dgm:spPr/>
    </dgm:pt>
    <dgm:pt modelId="{42CBBC9E-D699-4891-8919-6BF83483BCC3}" type="pres">
      <dgm:prSet presAssocID="{74A22F76-47B5-474C-927F-15672C66F5CA}" presName="parentTextArrow" presStyleLbl="node1" presStyleIdx="7" presStyleCnt="10" custScaleY="195276"/>
      <dgm:spPr/>
    </dgm:pt>
    <dgm:pt modelId="{C706EE4F-09EC-428A-BF9D-8684E4D71A14}" type="pres">
      <dgm:prSet presAssocID="{A9A03968-400E-445A-9A1F-1072D102A05F}" presName="sp" presStyleCnt="0"/>
      <dgm:spPr/>
    </dgm:pt>
    <dgm:pt modelId="{3C190FDD-C3A6-4136-B065-10DA907BE1F1}" type="pres">
      <dgm:prSet presAssocID="{C1E97A5C-F630-4391-AE11-D5614FA47E1D}" presName="arrowAndChildren" presStyleCnt="0"/>
      <dgm:spPr/>
    </dgm:pt>
    <dgm:pt modelId="{FCE19232-3018-4D80-8E07-9322D22DC460}" type="pres">
      <dgm:prSet presAssocID="{C1E97A5C-F630-4391-AE11-D5614FA47E1D}" presName="parentTextArrow" presStyleLbl="node1" presStyleIdx="8" presStyleCnt="10" custScaleY="194807"/>
      <dgm:spPr/>
    </dgm:pt>
    <dgm:pt modelId="{406F62ED-4B27-49F5-860F-BFA0C28A3F12}" type="pres">
      <dgm:prSet presAssocID="{088B1513-0444-4AE4-85F9-A6D69C8DADF6}" presName="sp" presStyleCnt="0"/>
      <dgm:spPr/>
    </dgm:pt>
    <dgm:pt modelId="{A2D7F74F-7BB1-493C-9509-80AF815988E2}" type="pres">
      <dgm:prSet presAssocID="{5CF7E9ED-49F7-4EC7-80D1-3C698DE6A512}" presName="arrowAndChildren" presStyleCnt="0"/>
      <dgm:spPr/>
    </dgm:pt>
    <dgm:pt modelId="{3D7A8FFA-4039-4E3E-913A-F6FC8F0D4948}" type="pres">
      <dgm:prSet presAssocID="{5CF7E9ED-49F7-4EC7-80D1-3C698DE6A512}" presName="parentTextArrow" presStyleLbl="node1" presStyleIdx="9" presStyleCnt="10" custScaleY="187420" custLinFactNeighborX="6818" custLinFactNeighborY="-597"/>
      <dgm:spPr/>
    </dgm:pt>
  </dgm:ptLst>
  <dgm:cxnLst>
    <dgm:cxn modelId="{6F7DB81C-15D9-418C-ADB5-4368AFF97567}" type="presOf" srcId="{A28356CE-CAE1-480C-B972-FC87C47FCAA8}" destId="{6F48B4D7-7494-472F-8C18-887FEDD80F86}" srcOrd="0" destOrd="0" presId="urn:microsoft.com/office/officeart/2005/8/layout/process4"/>
    <dgm:cxn modelId="{8605A425-0097-4228-B2C2-196FE1A35497}" srcId="{6C0208B9-C12E-4CEF-A260-2B5135DCE0F4}" destId="{F736F6E0-088C-4CEA-A131-FE08F2660728}" srcOrd="9" destOrd="0" parTransId="{CCFA86AE-AA9F-4034-8E0D-0BE34F03FD89}" sibTransId="{7202F344-3375-4A4A-A2E2-3082CE0EDD38}"/>
    <dgm:cxn modelId="{F92F5D27-26F7-4C4B-9974-F2A47D56F33D}" srcId="{6C0208B9-C12E-4CEF-A260-2B5135DCE0F4}" destId="{74A22F76-47B5-474C-927F-15672C66F5CA}" srcOrd="2" destOrd="0" parTransId="{18849DD8-821A-442C-B666-9CB509352356}" sibTransId="{9D7E6535-2F20-4F45-9250-82940963DF91}"/>
    <dgm:cxn modelId="{71C4845C-E84E-4331-BC75-9A63E4F834F8}" type="presOf" srcId="{5CF7E9ED-49F7-4EC7-80D1-3C698DE6A512}" destId="{3D7A8FFA-4039-4E3E-913A-F6FC8F0D4948}" srcOrd="0" destOrd="0" presId="urn:microsoft.com/office/officeart/2005/8/layout/process4"/>
    <dgm:cxn modelId="{C906D344-B7AA-49C6-92AB-0EC60B7EFDA2}" type="presOf" srcId="{F4722356-AA2D-43D1-9175-4D0A14367CC7}" destId="{A13CB0D9-5F4C-4964-9412-5548076D5214}" srcOrd="0" destOrd="0" presId="urn:microsoft.com/office/officeart/2005/8/layout/process4"/>
    <dgm:cxn modelId="{6EF7454C-B5EA-4F07-9768-C76ECEF29E24}" type="presOf" srcId="{CA17E883-3C1B-47D7-BB50-8018DA3E4A12}" destId="{6C4A0F2E-1D33-424F-938C-DDE0EF74F42F}" srcOrd="0" destOrd="0" presId="urn:microsoft.com/office/officeart/2005/8/layout/process4"/>
    <dgm:cxn modelId="{FEE8DF6D-6D0B-4729-87EF-F450E5CC6342}" type="presOf" srcId="{7B943920-101E-40F5-A315-07168AEAC61E}" destId="{64DA289C-C2E7-415F-BDDB-EE9172B3A731}" srcOrd="0" destOrd="0" presId="urn:microsoft.com/office/officeart/2005/8/layout/process4"/>
    <dgm:cxn modelId="{67E0EF71-7779-4076-9A54-382A62008CEA}" srcId="{6C0208B9-C12E-4CEF-A260-2B5135DCE0F4}" destId="{C1E97A5C-F630-4391-AE11-D5614FA47E1D}" srcOrd="1" destOrd="0" parTransId="{56572EDD-8643-48C3-AE09-DFBF88BCC20E}" sibTransId="{A9A03968-400E-445A-9A1F-1072D102A05F}"/>
    <dgm:cxn modelId="{A1003D54-AD81-49B8-AB3D-FB314CAAFB8A}" srcId="{6C0208B9-C12E-4CEF-A260-2B5135DCE0F4}" destId="{B1DA170B-0D63-4803-B627-10076BFC4FF9}" srcOrd="3" destOrd="0" parTransId="{BA81700C-53E0-43BB-8CE2-45F4EFF1FD32}" sibTransId="{6F62982D-1BFA-4CD8-AAAE-E1A421C84CFE}"/>
    <dgm:cxn modelId="{559A4174-6D5F-4D7E-8318-C72084F8C431}" srcId="{6C0208B9-C12E-4CEF-A260-2B5135DCE0F4}" destId="{A28356CE-CAE1-480C-B972-FC87C47FCAA8}" srcOrd="7" destOrd="0" parTransId="{075142DD-B1F6-4530-A2F0-8D785D1ED322}" sibTransId="{A05996E1-4B9B-4FD1-83F4-664DC5759894}"/>
    <dgm:cxn modelId="{54B2E080-C2B5-40B7-898E-FCBAC5ECD050}" type="presOf" srcId="{B1DA170B-0D63-4803-B627-10076BFC4FF9}" destId="{D900AF0A-20C1-4763-8630-09F71442BD4F}" srcOrd="0" destOrd="0" presId="urn:microsoft.com/office/officeart/2005/8/layout/process4"/>
    <dgm:cxn modelId="{DAD97387-B39C-4DBC-9D10-2DC75333346B}" srcId="{6C0208B9-C12E-4CEF-A260-2B5135DCE0F4}" destId="{5CF7E9ED-49F7-4EC7-80D1-3C698DE6A512}" srcOrd="0" destOrd="0" parTransId="{20BC1D27-118F-474B-B9BE-402CD49545EA}" sibTransId="{088B1513-0444-4AE4-85F9-A6D69C8DADF6}"/>
    <dgm:cxn modelId="{6CB1CFA1-291F-4F5E-9122-6A231A686D82}" type="presOf" srcId="{6C0208B9-C12E-4CEF-A260-2B5135DCE0F4}" destId="{A67AF750-F3D1-434B-9DB8-903275FF38BC}" srcOrd="0" destOrd="0" presId="urn:microsoft.com/office/officeart/2005/8/layout/process4"/>
    <dgm:cxn modelId="{8A5426AA-3F52-4EA7-8E81-91C83384ECCE}" srcId="{6C0208B9-C12E-4CEF-A260-2B5135DCE0F4}" destId="{F4722356-AA2D-43D1-9175-4D0A14367CC7}" srcOrd="6" destOrd="0" parTransId="{A0FC7412-7EA7-428A-88C4-7A08C921E589}" sibTransId="{93A53D84-D41A-46AA-B34D-9F1E7D5EFDFB}"/>
    <dgm:cxn modelId="{1D05BEBF-93D2-4FEB-BA24-41DE0EF167EB}" srcId="{6C0208B9-C12E-4CEF-A260-2B5135DCE0F4}" destId="{CA17E883-3C1B-47D7-BB50-8018DA3E4A12}" srcOrd="8" destOrd="0" parTransId="{7819F3C5-0B44-4100-8037-268B78A5DD73}" sibTransId="{526C4569-771A-41AD-970C-482705397E95}"/>
    <dgm:cxn modelId="{A74981D2-E73E-49B5-9F35-7B3E278E7F71}" srcId="{6C0208B9-C12E-4CEF-A260-2B5135DCE0F4}" destId="{2069451B-20A9-44F1-9B0F-6C92E0C4395A}" srcOrd="4" destOrd="0" parTransId="{A3AF89D1-3413-4B3C-BFE3-3DDB9E83BD6A}" sibTransId="{B3C17A76-C758-4EB5-AF3B-1EFC7C463818}"/>
    <dgm:cxn modelId="{7437B2DD-0357-48AA-A736-90AB2FD6E655}" type="presOf" srcId="{2069451B-20A9-44F1-9B0F-6C92E0C4395A}" destId="{F32F9CA1-1CF4-44D9-8042-1EA669A4E51B}" srcOrd="0" destOrd="0" presId="urn:microsoft.com/office/officeart/2005/8/layout/process4"/>
    <dgm:cxn modelId="{DEDA28E3-5CA0-42C4-83AC-ABEE2E566622}" type="presOf" srcId="{74A22F76-47B5-474C-927F-15672C66F5CA}" destId="{42CBBC9E-D699-4891-8919-6BF83483BCC3}" srcOrd="0" destOrd="0" presId="urn:microsoft.com/office/officeart/2005/8/layout/process4"/>
    <dgm:cxn modelId="{5807DAE5-7829-4073-8061-DE33056847F3}" srcId="{6C0208B9-C12E-4CEF-A260-2B5135DCE0F4}" destId="{7B943920-101E-40F5-A315-07168AEAC61E}" srcOrd="5" destOrd="0" parTransId="{61EEA1A4-0581-422C-B536-75E8F39C69A3}" sibTransId="{759C90E0-3A5A-48AF-A02D-24105243349D}"/>
    <dgm:cxn modelId="{773C83EF-62D7-4481-969F-F5E807C65576}" type="presOf" srcId="{F736F6E0-088C-4CEA-A131-FE08F2660728}" destId="{B642B4A2-C0DA-42AB-99FF-F2E8A2D99446}" srcOrd="0" destOrd="0" presId="urn:microsoft.com/office/officeart/2005/8/layout/process4"/>
    <dgm:cxn modelId="{28CCE8F5-C51F-441D-AC65-3D7A197DBA52}" type="presOf" srcId="{C1E97A5C-F630-4391-AE11-D5614FA47E1D}" destId="{FCE19232-3018-4D80-8E07-9322D22DC460}" srcOrd="0" destOrd="0" presId="urn:microsoft.com/office/officeart/2005/8/layout/process4"/>
    <dgm:cxn modelId="{2BC6112D-FFD5-473B-813C-041E51F7B815}" type="presParOf" srcId="{A67AF750-F3D1-434B-9DB8-903275FF38BC}" destId="{2362617A-7F84-483F-9ED3-7B26D7CCD113}" srcOrd="0" destOrd="0" presId="urn:microsoft.com/office/officeart/2005/8/layout/process4"/>
    <dgm:cxn modelId="{4EAAF630-8C6D-48D6-A0AF-C77A8B122E02}" type="presParOf" srcId="{2362617A-7F84-483F-9ED3-7B26D7CCD113}" destId="{B642B4A2-C0DA-42AB-99FF-F2E8A2D99446}" srcOrd="0" destOrd="0" presId="urn:microsoft.com/office/officeart/2005/8/layout/process4"/>
    <dgm:cxn modelId="{62D1F3E8-0E3D-4596-AAA4-E789EBCBBC3A}" type="presParOf" srcId="{A67AF750-F3D1-434B-9DB8-903275FF38BC}" destId="{7EBE83A6-4FD2-46F8-89C9-29CEC5BE7BF5}" srcOrd="1" destOrd="0" presId="urn:microsoft.com/office/officeart/2005/8/layout/process4"/>
    <dgm:cxn modelId="{4368B6F0-DE48-4C15-BC36-FEE8FA37AAF8}" type="presParOf" srcId="{A67AF750-F3D1-434B-9DB8-903275FF38BC}" destId="{7929FD1E-A847-4E05-A78C-F5F0CB40F80D}" srcOrd="2" destOrd="0" presId="urn:microsoft.com/office/officeart/2005/8/layout/process4"/>
    <dgm:cxn modelId="{EB1D9547-6A96-48B6-9BA4-C1158E16AAB9}" type="presParOf" srcId="{7929FD1E-A847-4E05-A78C-F5F0CB40F80D}" destId="{6C4A0F2E-1D33-424F-938C-DDE0EF74F42F}" srcOrd="0" destOrd="0" presId="urn:microsoft.com/office/officeart/2005/8/layout/process4"/>
    <dgm:cxn modelId="{C4996E29-966B-41C3-9395-068A4012E740}" type="presParOf" srcId="{A67AF750-F3D1-434B-9DB8-903275FF38BC}" destId="{629E6DD5-F2D9-456F-8F69-7301AC03F261}" srcOrd="3" destOrd="0" presId="urn:microsoft.com/office/officeart/2005/8/layout/process4"/>
    <dgm:cxn modelId="{821678C7-2AE4-450B-BFF3-855C8DAE4DD1}" type="presParOf" srcId="{A67AF750-F3D1-434B-9DB8-903275FF38BC}" destId="{1B911DD2-A739-4F67-A978-DBB2C8DC9E87}" srcOrd="4" destOrd="0" presId="urn:microsoft.com/office/officeart/2005/8/layout/process4"/>
    <dgm:cxn modelId="{94834356-D750-4BC2-8FF7-5ABFEFD465F3}" type="presParOf" srcId="{1B911DD2-A739-4F67-A978-DBB2C8DC9E87}" destId="{6F48B4D7-7494-472F-8C18-887FEDD80F86}" srcOrd="0" destOrd="0" presId="urn:microsoft.com/office/officeart/2005/8/layout/process4"/>
    <dgm:cxn modelId="{E667BC42-6ABA-4245-AE14-42CE7D15F4F2}" type="presParOf" srcId="{A67AF750-F3D1-434B-9DB8-903275FF38BC}" destId="{E2C6BD32-285B-4C04-A341-2BA43A0FA15B}" srcOrd="5" destOrd="0" presId="urn:microsoft.com/office/officeart/2005/8/layout/process4"/>
    <dgm:cxn modelId="{1A13485A-A105-4421-9568-FEA615301D24}" type="presParOf" srcId="{A67AF750-F3D1-434B-9DB8-903275FF38BC}" destId="{685CB31D-5A66-4493-B1F8-EC13BEA8619C}" srcOrd="6" destOrd="0" presId="urn:microsoft.com/office/officeart/2005/8/layout/process4"/>
    <dgm:cxn modelId="{AF59CC02-C8D3-47AD-8FB0-B19F7B72770D}" type="presParOf" srcId="{685CB31D-5A66-4493-B1F8-EC13BEA8619C}" destId="{A13CB0D9-5F4C-4964-9412-5548076D5214}" srcOrd="0" destOrd="0" presId="urn:microsoft.com/office/officeart/2005/8/layout/process4"/>
    <dgm:cxn modelId="{CDD0E0AA-CC73-46A6-98D4-B91A00BC6F1D}" type="presParOf" srcId="{A67AF750-F3D1-434B-9DB8-903275FF38BC}" destId="{0E5A1ACC-397B-4214-90EA-A3793CF2F78B}" srcOrd="7" destOrd="0" presId="urn:microsoft.com/office/officeart/2005/8/layout/process4"/>
    <dgm:cxn modelId="{36A638E8-3773-4D23-996A-67F5F297A83C}" type="presParOf" srcId="{A67AF750-F3D1-434B-9DB8-903275FF38BC}" destId="{80369981-B96C-44F4-AC4A-07A8451D96D2}" srcOrd="8" destOrd="0" presId="urn:microsoft.com/office/officeart/2005/8/layout/process4"/>
    <dgm:cxn modelId="{82DF56C9-1DDB-435C-B0AB-10EF976AA31D}" type="presParOf" srcId="{80369981-B96C-44F4-AC4A-07A8451D96D2}" destId="{64DA289C-C2E7-415F-BDDB-EE9172B3A731}" srcOrd="0" destOrd="0" presId="urn:microsoft.com/office/officeart/2005/8/layout/process4"/>
    <dgm:cxn modelId="{48FD478D-3B86-46B7-A40E-0607D728CB1B}" type="presParOf" srcId="{A67AF750-F3D1-434B-9DB8-903275FF38BC}" destId="{2AB7D5BB-F8B0-4993-B039-669B828ABDB9}" srcOrd="9" destOrd="0" presId="urn:microsoft.com/office/officeart/2005/8/layout/process4"/>
    <dgm:cxn modelId="{0092CF31-080D-4F0F-A2BE-2E184CFA6189}" type="presParOf" srcId="{A67AF750-F3D1-434B-9DB8-903275FF38BC}" destId="{4414609F-433D-48CC-AB62-1FEE6EAE4DE0}" srcOrd="10" destOrd="0" presId="urn:microsoft.com/office/officeart/2005/8/layout/process4"/>
    <dgm:cxn modelId="{78375229-0A63-4EE0-AF61-D0FDCB4F113A}" type="presParOf" srcId="{4414609F-433D-48CC-AB62-1FEE6EAE4DE0}" destId="{F32F9CA1-1CF4-44D9-8042-1EA669A4E51B}" srcOrd="0" destOrd="0" presId="urn:microsoft.com/office/officeart/2005/8/layout/process4"/>
    <dgm:cxn modelId="{EC09C522-F13D-44AA-90F5-9AEB3CDB34B1}" type="presParOf" srcId="{A67AF750-F3D1-434B-9DB8-903275FF38BC}" destId="{5F639F9E-0E03-4455-A9C6-2C1FA14A52CA}" srcOrd="11" destOrd="0" presId="urn:microsoft.com/office/officeart/2005/8/layout/process4"/>
    <dgm:cxn modelId="{E8991FBB-20A8-4902-A4C0-44194D837B6B}" type="presParOf" srcId="{A67AF750-F3D1-434B-9DB8-903275FF38BC}" destId="{A4F27A8D-9A57-41F7-8BA4-B01ADBCD650E}" srcOrd="12" destOrd="0" presId="urn:microsoft.com/office/officeart/2005/8/layout/process4"/>
    <dgm:cxn modelId="{109883FE-2BF0-48CD-957C-93EB4E065527}" type="presParOf" srcId="{A4F27A8D-9A57-41F7-8BA4-B01ADBCD650E}" destId="{D900AF0A-20C1-4763-8630-09F71442BD4F}" srcOrd="0" destOrd="0" presId="urn:microsoft.com/office/officeart/2005/8/layout/process4"/>
    <dgm:cxn modelId="{3D51CFD9-5902-4D17-BC4A-EC332321A9E1}" type="presParOf" srcId="{A67AF750-F3D1-434B-9DB8-903275FF38BC}" destId="{6806175C-57AD-46FD-A2C1-2EC527790A5A}" srcOrd="13" destOrd="0" presId="urn:microsoft.com/office/officeart/2005/8/layout/process4"/>
    <dgm:cxn modelId="{B5942C16-61CF-4245-B1A6-3CE83D3462CE}" type="presParOf" srcId="{A67AF750-F3D1-434B-9DB8-903275FF38BC}" destId="{44E5F06C-6DF9-4A14-A51D-05F91C9F9DC3}" srcOrd="14" destOrd="0" presId="urn:microsoft.com/office/officeart/2005/8/layout/process4"/>
    <dgm:cxn modelId="{5A2D765E-601A-4224-A059-34620572F695}" type="presParOf" srcId="{44E5F06C-6DF9-4A14-A51D-05F91C9F9DC3}" destId="{42CBBC9E-D699-4891-8919-6BF83483BCC3}" srcOrd="0" destOrd="0" presId="urn:microsoft.com/office/officeart/2005/8/layout/process4"/>
    <dgm:cxn modelId="{9FE3E84F-836B-44F8-9258-3FC5752C2BD0}" type="presParOf" srcId="{A67AF750-F3D1-434B-9DB8-903275FF38BC}" destId="{C706EE4F-09EC-428A-BF9D-8684E4D71A14}" srcOrd="15" destOrd="0" presId="urn:microsoft.com/office/officeart/2005/8/layout/process4"/>
    <dgm:cxn modelId="{14361666-0C80-4F13-9D48-4B9C40CCE963}" type="presParOf" srcId="{A67AF750-F3D1-434B-9DB8-903275FF38BC}" destId="{3C190FDD-C3A6-4136-B065-10DA907BE1F1}" srcOrd="16" destOrd="0" presId="urn:microsoft.com/office/officeart/2005/8/layout/process4"/>
    <dgm:cxn modelId="{3C095380-2CE4-4CE6-AEB2-21D32D8DDD92}" type="presParOf" srcId="{3C190FDD-C3A6-4136-B065-10DA907BE1F1}" destId="{FCE19232-3018-4D80-8E07-9322D22DC460}" srcOrd="0" destOrd="0" presId="urn:microsoft.com/office/officeart/2005/8/layout/process4"/>
    <dgm:cxn modelId="{1AD2B498-3BA0-4926-A81E-E6C9352BC1AF}" type="presParOf" srcId="{A67AF750-F3D1-434B-9DB8-903275FF38BC}" destId="{406F62ED-4B27-49F5-860F-BFA0C28A3F12}" srcOrd="17" destOrd="0" presId="urn:microsoft.com/office/officeart/2005/8/layout/process4"/>
    <dgm:cxn modelId="{B4D17008-DA16-488B-9B9C-0CB506C170C8}" type="presParOf" srcId="{A67AF750-F3D1-434B-9DB8-903275FF38BC}" destId="{A2D7F74F-7BB1-493C-9509-80AF815988E2}" srcOrd="18" destOrd="0" presId="urn:microsoft.com/office/officeart/2005/8/layout/process4"/>
    <dgm:cxn modelId="{751B0760-9D37-4730-9AE7-61E3D4093542}" type="presParOf" srcId="{A2D7F74F-7BB1-493C-9509-80AF815988E2}" destId="{3D7A8FFA-4039-4E3E-913A-F6FC8F0D4948}"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2B4A2-C0DA-42AB-99FF-F2E8A2D99446}">
      <dsp:nvSpPr>
        <dsp:cNvPr id="0" name=""/>
        <dsp:cNvSpPr/>
      </dsp:nvSpPr>
      <dsp:spPr bwMode="white">
        <a:xfrm>
          <a:off x="0" y="3285718"/>
          <a:ext cx="5908674" cy="275312"/>
        </a:xfrm>
        <a:prstGeom prst="rect">
          <a:avLst/>
        </a:prstGeom>
        <a:solidFill>
          <a:srgbClr val="4472C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b="1" kern="1200">
              <a:solidFill>
                <a:srgbClr val="000000"/>
              </a:solidFill>
              <a:latin typeface="StobiSerif Regular" panose="02000503060000020004" pitchFamily="3" charset="0"/>
            </a:rPr>
            <a:t>СОВЕТ ЗА ОВП-КОНСЛТАЦИЈА НА ПОРТАЛ ЗА ПОВ</a:t>
          </a:r>
        </a:p>
        <a:p>
          <a:pPr marL="0" lvl="0" indent="0" algn="ctr" defTabSz="311150">
            <a:lnSpc>
              <a:spcPct val="90000"/>
            </a:lnSpc>
            <a:spcBef>
              <a:spcPct val="0"/>
            </a:spcBef>
            <a:spcAft>
              <a:spcPct val="35000"/>
            </a:spcAft>
            <a:buNone/>
          </a:pPr>
          <a:r>
            <a:rPr lang="en-US" sz="700" b="1" kern="1200">
              <a:solidFill>
                <a:srgbClr val="000000"/>
              </a:solidFill>
              <a:latin typeface="StobiSerif Regular" panose="02000503060000020004" pitchFamily="3" charset="0"/>
            </a:rPr>
            <a:t>јули/август 2021</a:t>
          </a:r>
        </a:p>
      </dsp:txBody>
      <dsp:txXfrm>
        <a:off x="0" y="3285718"/>
        <a:ext cx="5908674" cy="275312"/>
      </dsp:txXfrm>
    </dsp:sp>
    <dsp:sp modelId="{6C4A0F2E-1D33-424F-938C-DDE0EF74F42F}">
      <dsp:nvSpPr>
        <dsp:cNvPr id="0" name=""/>
        <dsp:cNvSpPr/>
      </dsp:nvSpPr>
      <dsp:spPr bwMode="white">
        <a:xfrm rot="10800000">
          <a:off x="0" y="3063150"/>
          <a:ext cx="5908674" cy="224760"/>
        </a:xfrm>
        <a:prstGeom prst="upArrowCallout">
          <a:avLst/>
        </a:prstGeom>
        <a:solidFill>
          <a:srgbClr val="4472C4">
            <a:hueOff val="-817038"/>
            <a:satOff val="-1136"/>
            <a:lumOff val="-436"/>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35560" tIns="35560" rIns="35560" bIns="35560" numCol="1" spcCol="1270" anchor="ctr" anchorCtr="0">
          <a:noAutofit/>
        </a:bodyPr>
        <a:lstStyle/>
        <a:p>
          <a:pPr marL="0" lvl="0" indent="0" algn="r" defTabSz="222250">
            <a:lnSpc>
              <a:spcPct val="90000"/>
            </a:lnSpc>
            <a:spcBef>
              <a:spcPct val="0"/>
            </a:spcBef>
            <a:spcAft>
              <a:spcPct val="35000"/>
            </a:spcAft>
            <a:buNone/>
          </a:pPr>
          <a:r>
            <a:rPr lang="en-US" sz="500" b="1" kern="1200">
              <a:solidFill>
                <a:srgbClr val="000000"/>
              </a:solidFill>
            </a:rPr>
            <a:t>Индивидуални состаноци, мај-јуни 2021</a:t>
          </a:r>
          <a:endParaRPr lang="en-US" sz="500" kern="1200">
            <a:solidFill>
              <a:srgbClr val="000000"/>
            </a:solidFill>
          </a:endParaRPr>
        </a:p>
      </dsp:txBody>
      <dsp:txXfrm rot="10800000">
        <a:off x="0" y="3063150"/>
        <a:ext cx="5908674" cy="146042"/>
      </dsp:txXfrm>
    </dsp:sp>
    <dsp:sp modelId="{6F48B4D7-7494-472F-8C18-887FEDD80F86}">
      <dsp:nvSpPr>
        <dsp:cNvPr id="0" name=""/>
        <dsp:cNvSpPr/>
      </dsp:nvSpPr>
      <dsp:spPr bwMode="white">
        <a:xfrm rot="10800000">
          <a:off x="0" y="2644959"/>
          <a:ext cx="5908674" cy="420382"/>
        </a:xfrm>
        <a:prstGeom prst="upArrowCallout">
          <a:avLst/>
        </a:prstGeom>
        <a:solidFill>
          <a:srgbClr val="4472C4">
            <a:hueOff val="-1634077"/>
            <a:satOff val="-2273"/>
            <a:lumOff val="-872"/>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b="1" kern="1200">
              <a:solidFill>
                <a:srgbClr val="000000"/>
              </a:solidFill>
              <a:latin typeface="StobiSerif Regular" panose="02000503060000020004" pitchFamily="3" charset="0"/>
            </a:rPr>
            <a:t>ЧЕТВРТА ОНЛАЈН РАБОТИЛНИЦА-ФИНАЛИЗИРАЊЕ НА ЗАЛОЖБИТЕ</a:t>
          </a:r>
        </a:p>
        <a:p>
          <a:pPr marL="0" lvl="0" indent="0" algn="ctr" defTabSz="311150">
            <a:lnSpc>
              <a:spcPct val="90000"/>
            </a:lnSpc>
            <a:spcBef>
              <a:spcPct val="0"/>
            </a:spcBef>
            <a:spcAft>
              <a:spcPct val="35000"/>
            </a:spcAft>
            <a:buNone/>
          </a:pPr>
          <a:r>
            <a:rPr lang="en-US" sz="700" b="1" kern="1200">
              <a:solidFill>
                <a:srgbClr val="000000"/>
              </a:solidFill>
              <a:latin typeface="StobiSerif Regular" panose="02000503060000020004" pitchFamily="3" charset="0"/>
            </a:rPr>
            <a:t>ЈУНИ 2021 </a:t>
          </a:r>
        </a:p>
      </dsp:txBody>
      <dsp:txXfrm rot="10800000">
        <a:off x="0" y="2644959"/>
        <a:ext cx="5908674" cy="273152"/>
      </dsp:txXfrm>
    </dsp:sp>
    <dsp:sp modelId="{A13CB0D9-5F4C-4964-9412-5548076D5214}">
      <dsp:nvSpPr>
        <dsp:cNvPr id="0" name=""/>
        <dsp:cNvSpPr/>
      </dsp:nvSpPr>
      <dsp:spPr bwMode="white">
        <a:xfrm rot="10800000">
          <a:off x="0" y="2422391"/>
          <a:ext cx="5908674" cy="224760"/>
        </a:xfrm>
        <a:prstGeom prst="upArrowCallout">
          <a:avLst/>
        </a:prstGeom>
        <a:solidFill>
          <a:srgbClr val="4472C4">
            <a:hueOff val="-2451115"/>
            <a:satOff val="-3409"/>
            <a:lumOff val="-1307"/>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35560" tIns="35560" rIns="35560" bIns="35560" numCol="1" spcCol="1270" anchor="ctr" anchorCtr="0">
          <a:noAutofit/>
        </a:bodyPr>
        <a:lstStyle/>
        <a:p>
          <a:pPr marL="0" lvl="0" indent="0" algn="r" defTabSz="222250">
            <a:lnSpc>
              <a:spcPct val="90000"/>
            </a:lnSpc>
            <a:spcBef>
              <a:spcPct val="0"/>
            </a:spcBef>
            <a:spcAft>
              <a:spcPct val="35000"/>
            </a:spcAft>
            <a:buNone/>
          </a:pPr>
          <a:r>
            <a:rPr lang="en-US" sz="500" b="1" kern="1200">
              <a:solidFill>
                <a:srgbClr val="000000"/>
              </a:solidFill>
            </a:rPr>
            <a:t>Индивидуални состаноци, декември - мај  2021  </a:t>
          </a:r>
          <a:endParaRPr lang="en-US" sz="500" kern="1200">
            <a:solidFill>
              <a:srgbClr val="000000"/>
            </a:solidFill>
          </a:endParaRPr>
        </a:p>
      </dsp:txBody>
      <dsp:txXfrm rot="10800000">
        <a:off x="0" y="2422391"/>
        <a:ext cx="5908674" cy="146042"/>
      </dsp:txXfrm>
    </dsp:sp>
    <dsp:sp modelId="{64DA289C-C2E7-415F-BDDB-EE9172B3A731}">
      <dsp:nvSpPr>
        <dsp:cNvPr id="0" name=""/>
        <dsp:cNvSpPr/>
      </dsp:nvSpPr>
      <dsp:spPr bwMode="white">
        <a:xfrm rot="10800000">
          <a:off x="0" y="1985842"/>
          <a:ext cx="5908674" cy="438741"/>
        </a:xfrm>
        <a:prstGeom prst="upArrowCallout">
          <a:avLst/>
        </a:prstGeom>
        <a:solidFill>
          <a:srgbClr val="4472C4">
            <a:hueOff val="-3268153"/>
            <a:satOff val="-4546"/>
            <a:lumOff val="-1743"/>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b="1" kern="1200">
              <a:solidFill>
                <a:srgbClr val="000000"/>
              </a:solidFill>
              <a:latin typeface="StobiSerif Regular" panose="02000503060000020004" pitchFamily="3" charset="0"/>
            </a:rPr>
            <a:t>ТРЕТА ОНЛАЈН РАБОТИЛНИЦА- УТВРДУВАЊЕ НА АКТИВНИ ПОЛИТИКИ НА ИНСТИТУЦИИТЕ</a:t>
          </a:r>
        </a:p>
        <a:p>
          <a:pPr marL="0" lvl="0" indent="0" algn="ctr" defTabSz="311150">
            <a:lnSpc>
              <a:spcPct val="90000"/>
            </a:lnSpc>
            <a:spcBef>
              <a:spcPct val="0"/>
            </a:spcBef>
            <a:spcAft>
              <a:spcPct val="35000"/>
            </a:spcAft>
            <a:buNone/>
          </a:pPr>
          <a:r>
            <a:rPr lang="en-US" sz="700" b="1" kern="1200">
              <a:solidFill>
                <a:srgbClr val="000000"/>
              </a:solidFill>
              <a:latin typeface="StobiSerif Regular" panose="02000503060000020004" pitchFamily="3" charset="0"/>
            </a:rPr>
            <a:t> 7 – 11 декември 2020 </a:t>
          </a:r>
          <a:endParaRPr lang="en-US" sz="700" kern="1200">
            <a:solidFill>
              <a:srgbClr val="000000"/>
            </a:solidFill>
            <a:latin typeface="StobiSerif Regular" panose="02000503060000020004" pitchFamily="3" charset="0"/>
          </a:endParaRPr>
        </a:p>
      </dsp:txBody>
      <dsp:txXfrm rot="10800000">
        <a:off x="0" y="1985842"/>
        <a:ext cx="5908674" cy="285081"/>
      </dsp:txXfrm>
    </dsp:sp>
    <dsp:sp modelId="{F32F9CA1-1CF4-44D9-8042-1EA669A4E51B}">
      <dsp:nvSpPr>
        <dsp:cNvPr id="0" name=""/>
        <dsp:cNvSpPr/>
      </dsp:nvSpPr>
      <dsp:spPr bwMode="white">
        <a:xfrm rot="10800000">
          <a:off x="0" y="1763274"/>
          <a:ext cx="5908674" cy="224760"/>
        </a:xfrm>
        <a:prstGeom prst="upArrowCallout">
          <a:avLst/>
        </a:prstGeom>
        <a:solidFill>
          <a:srgbClr val="4472C4">
            <a:hueOff val="-4085191"/>
            <a:satOff val="-5682"/>
            <a:lumOff val="-2179"/>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35560" tIns="35560" rIns="35560" bIns="35560" numCol="1" spcCol="1270" anchor="ctr" anchorCtr="0">
          <a:noAutofit/>
        </a:bodyPr>
        <a:lstStyle/>
        <a:p>
          <a:pPr marL="0" lvl="0" indent="0" algn="r" defTabSz="222250">
            <a:lnSpc>
              <a:spcPct val="90000"/>
            </a:lnSpc>
            <a:spcBef>
              <a:spcPct val="0"/>
            </a:spcBef>
            <a:spcAft>
              <a:spcPct val="35000"/>
            </a:spcAft>
            <a:buNone/>
          </a:pPr>
          <a:r>
            <a:rPr lang="en-US" sz="500" b="1" kern="1200">
              <a:solidFill>
                <a:srgbClr val="000000"/>
              </a:solidFill>
            </a:rPr>
            <a:t>Индивидуални состаноци, ноември - декември 2020  </a:t>
          </a:r>
          <a:endParaRPr lang="en-US" sz="500" kern="1200">
            <a:solidFill>
              <a:srgbClr val="000000"/>
            </a:solidFill>
          </a:endParaRPr>
        </a:p>
      </dsp:txBody>
      <dsp:txXfrm rot="10800000">
        <a:off x="0" y="1763274"/>
        <a:ext cx="5908674" cy="146042"/>
      </dsp:txXfrm>
    </dsp:sp>
    <dsp:sp modelId="{D900AF0A-20C1-4763-8630-09F71442BD4F}">
      <dsp:nvSpPr>
        <dsp:cNvPr id="0" name=""/>
        <dsp:cNvSpPr/>
      </dsp:nvSpPr>
      <dsp:spPr bwMode="white">
        <a:xfrm rot="10800000">
          <a:off x="0" y="1293375"/>
          <a:ext cx="5908674" cy="472091"/>
        </a:xfrm>
        <a:prstGeom prst="upArrowCallout">
          <a:avLst/>
        </a:prstGeom>
        <a:solidFill>
          <a:srgbClr val="4472C4">
            <a:hueOff val="-4902230"/>
            <a:satOff val="-6819"/>
            <a:lumOff val="-2615"/>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b="1" kern="1200">
              <a:solidFill>
                <a:srgbClr val="000000"/>
              </a:solidFill>
            </a:rPr>
            <a:t>ВТОРА ОНЛАЈН РАБОТИЛНИЦА-ИДЕНТИФИКУВАЊЕ НА ПРОБЛЕМИ</a:t>
          </a:r>
        </a:p>
        <a:p>
          <a:pPr marL="0" lvl="0" indent="0" algn="ctr" defTabSz="311150">
            <a:lnSpc>
              <a:spcPct val="90000"/>
            </a:lnSpc>
            <a:spcBef>
              <a:spcPct val="0"/>
            </a:spcBef>
            <a:spcAft>
              <a:spcPct val="35000"/>
            </a:spcAft>
            <a:buNone/>
          </a:pPr>
          <a:r>
            <a:rPr lang="en-US" sz="700" b="1" kern="1200">
              <a:solidFill>
                <a:srgbClr val="000000"/>
              </a:solidFill>
            </a:rPr>
            <a:t> 12 – 17 ноември 2020</a:t>
          </a:r>
        </a:p>
      </dsp:txBody>
      <dsp:txXfrm rot="10800000">
        <a:off x="0" y="1293375"/>
        <a:ext cx="5908674" cy="306751"/>
      </dsp:txXfrm>
    </dsp:sp>
    <dsp:sp modelId="{42CBBC9E-D699-4891-8919-6BF83483BCC3}">
      <dsp:nvSpPr>
        <dsp:cNvPr id="0" name=""/>
        <dsp:cNvSpPr/>
      </dsp:nvSpPr>
      <dsp:spPr bwMode="white">
        <a:xfrm rot="10800000">
          <a:off x="0" y="856664"/>
          <a:ext cx="5908674" cy="438902"/>
        </a:xfrm>
        <a:prstGeom prst="upArrowCallout">
          <a:avLst/>
        </a:prstGeom>
        <a:solidFill>
          <a:srgbClr val="4472C4">
            <a:hueOff val="-5719268"/>
            <a:satOff val="-7955"/>
            <a:lumOff val="-305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b="1" kern="1200">
              <a:solidFill>
                <a:srgbClr val="000000"/>
              </a:solidFill>
              <a:latin typeface="StobiSerif Regular" panose="02000503060000020004" pitchFamily="3" charset="0"/>
            </a:rPr>
            <a:t>ПРВА ОНЛАЈН РАБОТИЛНИЦА-УТВРДУВАЊЕ НА ПОСТИГНАТИ РЕЗУЛАТИ И УТВРДУВАЊЕ НА МОМЕНТАЛНА СОСТОЈБА ВО ОБЛАСТА</a:t>
          </a:r>
        </a:p>
        <a:p>
          <a:pPr marL="0" lvl="0" indent="0" algn="ctr" defTabSz="266700">
            <a:lnSpc>
              <a:spcPct val="90000"/>
            </a:lnSpc>
            <a:spcBef>
              <a:spcPct val="0"/>
            </a:spcBef>
            <a:spcAft>
              <a:spcPct val="35000"/>
            </a:spcAft>
            <a:buNone/>
          </a:pPr>
          <a:r>
            <a:rPr lang="en-US" sz="600" b="1" kern="1200">
              <a:solidFill>
                <a:srgbClr val="000000"/>
              </a:solidFill>
              <a:latin typeface="StobiSerif Regular" panose="02000503060000020004" pitchFamily="3" charset="0"/>
            </a:rPr>
            <a:t>3 – 6 ноември 2020 </a:t>
          </a:r>
        </a:p>
      </dsp:txBody>
      <dsp:txXfrm rot="10800000">
        <a:off x="0" y="856664"/>
        <a:ext cx="5908674" cy="285185"/>
      </dsp:txXfrm>
    </dsp:sp>
    <dsp:sp modelId="{FCE19232-3018-4D80-8E07-9322D22DC460}">
      <dsp:nvSpPr>
        <dsp:cNvPr id="0" name=""/>
        <dsp:cNvSpPr/>
      </dsp:nvSpPr>
      <dsp:spPr bwMode="white">
        <a:xfrm rot="10800000">
          <a:off x="0" y="421007"/>
          <a:ext cx="5908674" cy="437848"/>
        </a:xfrm>
        <a:prstGeom prst="upArrowCallout">
          <a:avLst/>
        </a:prstGeom>
        <a:solidFill>
          <a:srgbClr val="4472C4">
            <a:hueOff val="-6536306"/>
            <a:satOff val="-9092"/>
            <a:lumOff val="-3486"/>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b="1" kern="1200">
              <a:solidFill>
                <a:srgbClr val="000000"/>
              </a:solidFill>
              <a:latin typeface="StobiSerif Regular" panose="02000503060000020004" pitchFamily="3" charset="0"/>
            </a:rPr>
            <a:t>ОНЛАЈН ЕДУКАЦИЈА И ИНФОРМИРАЊЕ </a:t>
          </a:r>
        </a:p>
        <a:p>
          <a:pPr marL="0" lvl="0" indent="0" algn="ctr" defTabSz="266700">
            <a:lnSpc>
              <a:spcPct val="90000"/>
            </a:lnSpc>
            <a:spcBef>
              <a:spcPct val="0"/>
            </a:spcBef>
            <a:spcAft>
              <a:spcPct val="35000"/>
            </a:spcAft>
            <a:buNone/>
          </a:pPr>
          <a:r>
            <a:rPr lang="en-US" sz="600" b="1" kern="1200">
              <a:solidFill>
                <a:srgbClr val="000000"/>
              </a:solidFill>
              <a:latin typeface="StobiSerif Regular" panose="02000503060000020004" pitchFamily="3" charset="0"/>
            </a:rPr>
            <a:t>октомври 2020</a:t>
          </a:r>
        </a:p>
      </dsp:txBody>
      <dsp:txXfrm rot="10800000">
        <a:off x="0" y="421007"/>
        <a:ext cx="5908674" cy="284500"/>
      </dsp:txXfrm>
    </dsp:sp>
    <dsp:sp modelId="{3D7A8FFA-4039-4E3E-913A-F6FC8F0D4948}">
      <dsp:nvSpPr>
        <dsp:cNvPr id="0" name=""/>
        <dsp:cNvSpPr/>
      </dsp:nvSpPr>
      <dsp:spPr bwMode="white">
        <a:xfrm rot="10800000">
          <a:off x="0" y="611"/>
          <a:ext cx="5908674" cy="421245"/>
        </a:xfrm>
        <a:prstGeom prst="upArrowCallout">
          <a:avLst/>
        </a:prstGeom>
        <a:solidFill>
          <a:srgbClr val="4472C4">
            <a:hueOff val="-7353344"/>
            <a:satOff val="-10228"/>
            <a:lumOff val="-3922"/>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b="1" kern="1200">
              <a:solidFill>
                <a:srgbClr val="000000"/>
              </a:solidFill>
              <a:latin typeface="StobiSerif Regular" panose="02000503060000020004" pitchFamily="3" charset="0"/>
            </a:rPr>
            <a:t>ОНЛАЈН КОНФЕРЕНЦИЈА ЗА ОТПОЧНУВАЊЕ НА ПОЦЕС НА КО-КРЕИРАЊЕ</a:t>
          </a:r>
        </a:p>
        <a:p>
          <a:pPr marL="0" lvl="0" indent="0" algn="ctr" defTabSz="266700">
            <a:lnSpc>
              <a:spcPct val="90000"/>
            </a:lnSpc>
            <a:spcBef>
              <a:spcPct val="0"/>
            </a:spcBef>
            <a:spcAft>
              <a:spcPct val="35000"/>
            </a:spcAft>
            <a:buNone/>
          </a:pPr>
          <a:r>
            <a:rPr lang="en-US" sz="600" b="1" kern="1200">
              <a:solidFill>
                <a:srgbClr val="000000"/>
              </a:solidFill>
              <a:latin typeface="StobiSerif Regular" panose="02000503060000020004" pitchFamily="3" charset="0"/>
            </a:rPr>
            <a:t>30 септември 2020 </a:t>
          </a:r>
        </a:p>
      </dsp:txBody>
      <dsp:txXfrm rot="10800000">
        <a:off x="0" y="611"/>
        <a:ext cx="5908674" cy="2737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rgbClr val="000000"/>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6D2A98CE14F41D42BA048BC7D6D6CA67" ma:contentTypeVersion="" ma:contentTypeDescription="" ma:contentTypeScope="" ma:versionID="a8f73adf9412968bebea23d6f951982d">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18</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81BF6-ECCC-482A-8A7A-03517BD14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1F024-5A1C-4CFC-90A6-1BA0EDAA111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2E56068-7A2D-415D-955B-D5291EF7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3</TotalTime>
  <Pages>54</Pages>
  <Words>13479</Words>
  <Characters>76833</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Национален Акциски план за партнерство за отворена власт 2021-2023 година</vt:lpstr>
    </vt:vector>
  </TitlesOfParts>
  <Company>Влада на Република Македонија</Company>
  <LinksUpToDate>false</LinksUpToDate>
  <CharactersWithSpaces>90132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Национален Акциски план за партнерство за отворена власт 2021-2023 година</dc:title>
  <dc:creator>Влада на Република Македонија</dc:creator>
  <cp:lastModifiedBy>Marina Shaf</cp:lastModifiedBy>
  <cp:revision>4</cp:revision>
  <cp:lastPrinted>2021-10-13T07:09:00Z</cp:lastPrinted>
  <dcterms:created xsi:type="dcterms:W3CDTF">2023-04-12T07:16:00Z</dcterms:created>
  <dcterms:modified xsi:type="dcterms:W3CDTF">2023-04-12T09:36:00Z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0x01010086FCDBBC86574C7ABFC9FD714B80DE6C006D2A98CE14F41D42BA048BC7D6D6CA67</vt:lpwstr>
  </property>
  <property fmtid="{D5CDD505-2E9C-101B-9397-08002B2CF9AE}" pid="3" name="CreatedBy">
    <vt:lpwstr>i:0e.t|e-vlada.mk sts|gordana.dimitrovska</vt:lpwstr>
  </property>
  <property fmtid="{D5CDD505-2E9C-101B-9397-08002B2CF9AE}" pid="4" name="ModifiedBy">
    <vt:lpwstr>i:0e.t|e-vlada.mk sts|gordana.dimitrovska</vt:lpwstr>
  </property>
</Properties>
</file>